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8E3C8A">
      <w:pPr>
        <w:pStyle w:val="4"/>
        <w:keepNext w:val="0"/>
        <w:keepLines w:val="0"/>
        <w:pageBreakBefore w:val="0"/>
        <w:widowControl/>
        <w:kinsoku/>
        <w:wordWrap/>
        <w:overflowPunct/>
        <w:topLinePunct w:val="0"/>
        <w:autoSpaceDE/>
        <w:autoSpaceDN/>
        <w:bidi w:val="0"/>
        <w:adjustRightInd/>
        <w:snapToGrid/>
        <w:spacing w:line="480" w:lineRule="exact"/>
        <w:ind w:firstLine="0"/>
        <w:jc w:val="center"/>
        <w:textAlignment w:val="auto"/>
        <w:rPr>
          <w:rStyle w:val="9"/>
          <w:rFonts w:hint="eastAsia" w:ascii="方正小标宋简体" w:hAnsi="方正小标宋简体" w:eastAsia="方正小标宋简体" w:cs="方正小标宋简体"/>
          <w:color w:val="333333"/>
          <w:sz w:val="44"/>
          <w:szCs w:val="44"/>
          <w:lang w:eastAsia="zh-CN"/>
        </w:rPr>
      </w:pPr>
      <w:bookmarkStart w:id="0" w:name="_GoBack"/>
      <w:r>
        <w:rPr>
          <w:rStyle w:val="9"/>
          <w:rFonts w:hint="eastAsia" w:ascii="方正小标宋简体" w:hAnsi="方正小标宋简体" w:eastAsia="方正小标宋简体" w:cs="方正小标宋简体"/>
          <w:color w:val="333333"/>
          <w:sz w:val="44"/>
          <w:szCs w:val="44"/>
          <w:lang w:eastAsia="zh-CN"/>
        </w:rPr>
        <w:t>周至县交通运输局</w:t>
      </w:r>
    </w:p>
    <w:p w14:paraId="7410EB98">
      <w:pPr>
        <w:pStyle w:val="4"/>
        <w:keepNext w:val="0"/>
        <w:keepLines w:val="0"/>
        <w:pageBreakBefore w:val="0"/>
        <w:widowControl/>
        <w:kinsoku/>
        <w:wordWrap/>
        <w:overflowPunct/>
        <w:topLinePunct w:val="0"/>
        <w:autoSpaceDE/>
        <w:autoSpaceDN/>
        <w:bidi w:val="0"/>
        <w:adjustRightInd/>
        <w:snapToGrid/>
        <w:spacing w:line="480" w:lineRule="exact"/>
        <w:ind w:firstLine="0"/>
        <w:jc w:val="center"/>
        <w:textAlignment w:val="auto"/>
        <w:rPr>
          <w:rStyle w:val="9"/>
          <w:rFonts w:hint="eastAsia" w:ascii="方正小标宋简体" w:hAnsi="方正小标宋简体" w:eastAsia="方正小标宋简体" w:cs="方正小标宋简体"/>
          <w:color w:val="333333"/>
          <w:sz w:val="44"/>
          <w:szCs w:val="44"/>
        </w:rPr>
      </w:pPr>
      <w:r>
        <w:rPr>
          <w:rStyle w:val="9"/>
          <w:rFonts w:hint="eastAsia" w:ascii="方正小标宋简体" w:hAnsi="方正小标宋简体" w:eastAsia="方正小标宋简体" w:cs="方正小标宋简体"/>
          <w:color w:val="333333"/>
          <w:sz w:val="44"/>
          <w:szCs w:val="44"/>
        </w:rPr>
        <w:t>行政执法和刑事司法衔接工作制度</w:t>
      </w:r>
    </w:p>
    <w:bookmarkEnd w:id="0"/>
    <w:p w14:paraId="7352E22B">
      <w:pPr>
        <w:pStyle w:val="4"/>
        <w:keepNext w:val="0"/>
        <w:keepLines w:val="0"/>
        <w:pageBreakBefore w:val="0"/>
        <w:widowControl/>
        <w:numPr>
          <w:ilvl w:val="0"/>
          <w:numId w:val="1"/>
        </w:numPr>
        <w:kinsoku/>
        <w:wordWrap/>
        <w:overflowPunct/>
        <w:topLinePunct w:val="0"/>
        <w:autoSpaceDE/>
        <w:autoSpaceDN/>
        <w:bidi w:val="0"/>
        <w:adjustRightInd/>
        <w:snapToGrid/>
        <w:spacing w:line="600" w:lineRule="exact"/>
        <w:ind w:firstLine="629"/>
        <w:jc w:val="both"/>
        <w:textAlignment w:val="auto"/>
        <w:rPr>
          <w:rStyle w:val="9"/>
          <w:rFonts w:hint="eastAsia" w:ascii="仿宋_GB2312" w:hAnsi="仿宋_GB2312" w:eastAsia="仿宋_GB2312" w:cs="仿宋_GB2312"/>
          <w:color w:val="333333"/>
          <w:sz w:val="32"/>
          <w:szCs w:val="32"/>
        </w:rPr>
      </w:pPr>
      <w:r>
        <w:rPr>
          <w:rStyle w:val="9"/>
          <w:rFonts w:hint="eastAsia" w:ascii="仿宋_GB2312" w:hAnsi="仿宋_GB2312" w:eastAsia="仿宋_GB2312" w:cs="仿宋_GB2312"/>
          <w:color w:val="333333"/>
          <w:sz w:val="32"/>
          <w:szCs w:val="32"/>
        </w:rPr>
        <w:t>为深入推进</w:t>
      </w:r>
      <w:r>
        <w:rPr>
          <w:rStyle w:val="9"/>
          <w:rFonts w:hint="eastAsia" w:ascii="仿宋_GB2312" w:hAnsi="仿宋_GB2312" w:eastAsia="仿宋_GB2312" w:cs="仿宋_GB2312"/>
          <w:color w:val="333333"/>
          <w:sz w:val="32"/>
          <w:szCs w:val="32"/>
          <w:lang w:eastAsia="zh-CN"/>
        </w:rPr>
        <w:t>周至县交通运输局</w:t>
      </w:r>
      <w:r>
        <w:rPr>
          <w:rStyle w:val="9"/>
          <w:rFonts w:hint="eastAsia" w:ascii="仿宋_GB2312" w:hAnsi="仿宋_GB2312" w:eastAsia="仿宋_GB2312" w:cs="仿宋_GB2312"/>
          <w:color w:val="333333"/>
          <w:sz w:val="32"/>
          <w:szCs w:val="32"/>
        </w:rPr>
        <w:t>行政执法与刑事司法衔接工作，建立健全行政执法机关、公安机关、检察机关、审判机关信息共享、案情通报、案件移送机制，使涉嫌犯罪的案件都能够顺利进入刑事诉讼程序，根据《周至县全省法治政府建设示范县创建活动总体方案》的文件要求，结合</w:t>
      </w:r>
      <w:r>
        <w:rPr>
          <w:rStyle w:val="9"/>
          <w:rFonts w:hint="eastAsia" w:ascii="仿宋_GB2312" w:hAnsi="仿宋_GB2312" w:eastAsia="仿宋_GB2312" w:cs="仿宋_GB2312"/>
          <w:color w:val="333333"/>
          <w:sz w:val="32"/>
          <w:szCs w:val="32"/>
          <w:lang w:eastAsia="zh-CN"/>
        </w:rPr>
        <w:t>单位工作</w:t>
      </w:r>
      <w:r>
        <w:rPr>
          <w:rStyle w:val="9"/>
          <w:rFonts w:hint="eastAsia" w:ascii="仿宋_GB2312" w:hAnsi="仿宋_GB2312" w:eastAsia="仿宋_GB2312" w:cs="仿宋_GB2312"/>
          <w:color w:val="333333"/>
          <w:sz w:val="32"/>
          <w:szCs w:val="32"/>
        </w:rPr>
        <w:t>实际，</w:t>
      </w:r>
      <w:r>
        <w:rPr>
          <w:rStyle w:val="9"/>
          <w:rFonts w:hint="eastAsia" w:ascii="仿宋_GB2312" w:hAnsi="仿宋_GB2312" w:eastAsia="仿宋_GB2312" w:cs="仿宋_GB2312"/>
          <w:color w:val="333333"/>
          <w:sz w:val="32"/>
          <w:szCs w:val="32"/>
          <w:lang w:eastAsia="zh-CN"/>
        </w:rPr>
        <w:t>制定</w:t>
      </w:r>
      <w:r>
        <w:rPr>
          <w:rStyle w:val="9"/>
          <w:rFonts w:hint="eastAsia" w:ascii="仿宋_GB2312" w:hAnsi="仿宋_GB2312" w:eastAsia="仿宋_GB2312" w:cs="仿宋_GB2312"/>
          <w:color w:val="333333"/>
          <w:sz w:val="32"/>
          <w:szCs w:val="32"/>
        </w:rPr>
        <w:t>本制度。</w:t>
      </w:r>
    </w:p>
    <w:p w14:paraId="11E64EA3">
      <w:pPr>
        <w:pStyle w:val="4"/>
        <w:keepNext w:val="0"/>
        <w:keepLines w:val="0"/>
        <w:pageBreakBefore w:val="0"/>
        <w:widowControl/>
        <w:numPr>
          <w:numId w:val="0"/>
        </w:numPr>
        <w:kinsoku/>
        <w:wordWrap/>
        <w:overflowPunct/>
        <w:topLinePunct w:val="0"/>
        <w:autoSpaceDE/>
        <w:autoSpaceDN/>
        <w:bidi w:val="0"/>
        <w:adjustRightInd/>
        <w:snapToGrid/>
        <w:spacing w:line="600" w:lineRule="exact"/>
        <w:ind w:firstLine="960" w:firstLineChars="300"/>
        <w:jc w:val="both"/>
        <w:textAlignment w:val="auto"/>
        <w:rPr>
          <w:rFonts w:hint="eastAsia" w:ascii="仿宋_GB2312" w:hAnsi="仿宋_GB2312" w:eastAsia="仿宋_GB2312" w:cs="仿宋_GB2312"/>
          <w:color w:val="333333"/>
          <w:sz w:val="32"/>
          <w:szCs w:val="32"/>
        </w:rPr>
      </w:pPr>
      <w:r>
        <w:rPr>
          <w:rStyle w:val="9"/>
          <w:rFonts w:hint="eastAsia" w:ascii="仿宋_GB2312" w:hAnsi="仿宋_GB2312" w:eastAsia="仿宋_GB2312" w:cs="仿宋_GB2312"/>
          <w:color w:val="333333"/>
          <w:sz w:val="32"/>
          <w:szCs w:val="32"/>
        </w:rPr>
        <w:t>第二条</w:t>
      </w:r>
      <w:r>
        <w:rPr>
          <w:rFonts w:hint="eastAsia" w:ascii="仿宋_GB2312" w:hAnsi="仿宋_GB2312" w:eastAsia="仿宋_GB2312" w:cs="仿宋_GB2312"/>
          <w:color w:val="333333"/>
          <w:sz w:val="32"/>
          <w:szCs w:val="32"/>
        </w:rPr>
        <w:t xml:space="preserve"> </w:t>
      </w:r>
      <w:r>
        <w:rPr>
          <w:rStyle w:val="9"/>
          <w:rFonts w:hint="eastAsia" w:ascii="仿宋_GB2312" w:hAnsi="仿宋_GB2312" w:eastAsia="仿宋_GB2312" w:cs="仿宋_GB2312"/>
          <w:color w:val="333333"/>
          <w:sz w:val="32"/>
          <w:szCs w:val="32"/>
        </w:rPr>
        <w:t>周至县行政区域内开展的交通运输行政执法与刑事司法衔接工作，适用本制度。</w:t>
      </w:r>
    </w:p>
    <w:p w14:paraId="561819A6">
      <w:pPr>
        <w:pStyle w:val="4"/>
        <w:keepNext w:val="0"/>
        <w:keepLines w:val="0"/>
        <w:pageBreakBefore w:val="0"/>
        <w:widowControl/>
        <w:shd w:val="clear" w:color="auto" w:fill="FFFFFF"/>
        <w:kinsoku/>
        <w:wordWrap/>
        <w:overflowPunct/>
        <w:topLinePunct w:val="0"/>
        <w:autoSpaceDE/>
        <w:autoSpaceDN/>
        <w:bidi w:val="0"/>
        <w:adjustRightInd/>
        <w:snapToGrid/>
        <w:spacing w:line="600" w:lineRule="exact"/>
        <w:ind w:firstLine="629"/>
        <w:jc w:val="both"/>
        <w:textAlignment w:val="auto"/>
        <w:rPr>
          <w:rFonts w:hint="eastAsia" w:ascii="仿宋_GB2312" w:hAnsi="仿宋_GB2312" w:eastAsia="仿宋_GB2312" w:cs="仿宋_GB2312"/>
          <w:color w:val="333333"/>
          <w:sz w:val="32"/>
          <w:szCs w:val="32"/>
        </w:rPr>
      </w:pPr>
      <w:r>
        <w:rPr>
          <w:rStyle w:val="9"/>
          <w:rFonts w:hint="eastAsia" w:ascii="仿宋_GB2312" w:hAnsi="仿宋_GB2312" w:eastAsia="仿宋_GB2312" w:cs="仿宋_GB2312"/>
          <w:color w:val="333333"/>
          <w:sz w:val="32"/>
          <w:szCs w:val="32"/>
        </w:rPr>
        <w:t>行政执法与刑事司法衔接工作，指行政执法机关将涉嫌犯罪案件向有管辖权的公安机关、检察机关等司法机关移送</w:t>
      </w:r>
      <w:r>
        <w:rPr>
          <w:rFonts w:hint="eastAsia" w:ascii="仿宋_GB2312" w:hAnsi="仿宋_GB2312" w:eastAsia="仿宋_GB2312" w:cs="仿宋_GB2312"/>
          <w:color w:val="333333"/>
          <w:sz w:val="32"/>
          <w:szCs w:val="32"/>
        </w:rPr>
        <w:t>,公安机关、检察机关、审判机关在办理刑事案件中发现需要行政处理的案件向相关行政执法机关移送。</w:t>
      </w:r>
    </w:p>
    <w:p w14:paraId="235F7AC4">
      <w:pPr>
        <w:pStyle w:val="4"/>
        <w:keepNext w:val="0"/>
        <w:keepLines w:val="0"/>
        <w:pageBreakBefore w:val="0"/>
        <w:widowControl/>
        <w:shd w:val="clear" w:color="auto" w:fill="FFFFFF"/>
        <w:kinsoku/>
        <w:wordWrap/>
        <w:overflowPunct/>
        <w:topLinePunct w:val="0"/>
        <w:autoSpaceDE/>
        <w:autoSpaceDN/>
        <w:bidi w:val="0"/>
        <w:adjustRightInd/>
        <w:snapToGrid/>
        <w:spacing w:line="600" w:lineRule="exact"/>
        <w:ind w:firstLine="629"/>
        <w:jc w:val="both"/>
        <w:textAlignment w:val="auto"/>
        <w:rPr>
          <w:rFonts w:hint="eastAsia" w:ascii="仿宋_GB2312" w:hAnsi="仿宋_GB2312" w:eastAsia="仿宋_GB2312" w:cs="仿宋_GB2312"/>
          <w:color w:val="333333"/>
          <w:sz w:val="32"/>
          <w:szCs w:val="32"/>
        </w:rPr>
      </w:pPr>
      <w:r>
        <w:rPr>
          <w:rStyle w:val="9"/>
          <w:rFonts w:hint="eastAsia" w:ascii="仿宋_GB2312" w:hAnsi="仿宋_GB2312" w:eastAsia="仿宋_GB2312" w:cs="仿宋_GB2312"/>
          <w:color w:val="333333"/>
          <w:sz w:val="32"/>
          <w:szCs w:val="32"/>
        </w:rPr>
        <w:t>第三条</w:t>
      </w:r>
      <w:r>
        <w:rPr>
          <w:rFonts w:hint="eastAsia" w:ascii="仿宋_GB2312" w:hAnsi="仿宋_GB2312" w:eastAsia="仿宋_GB2312" w:cs="仿宋_GB2312"/>
          <w:color w:val="333333"/>
          <w:sz w:val="32"/>
          <w:szCs w:val="32"/>
        </w:rPr>
        <w:t xml:space="preserve"> </w:t>
      </w:r>
      <w:r>
        <w:rPr>
          <w:rStyle w:val="9"/>
          <w:rFonts w:hint="eastAsia" w:ascii="仿宋_GB2312" w:hAnsi="仿宋_GB2312" w:eastAsia="仿宋_GB2312" w:cs="仿宋_GB2312"/>
          <w:color w:val="333333"/>
          <w:sz w:val="32"/>
          <w:szCs w:val="32"/>
        </w:rPr>
        <w:t>行政执法机关在查办案件过程中，对符合刑事追诉标准、涉嫌犯罪的案件，应当制作《涉嫌犯罪案件移送书》，及时将案件向有管辖权的公安机关移送，并抄送同级人民检察院备案。现场查获的涉案货值或者案件其他情节明显达到刑事追诉标准、涉嫌犯罪的，应当立即移送公安机关查处。</w:t>
      </w:r>
    </w:p>
    <w:p w14:paraId="37E19649">
      <w:pPr>
        <w:pStyle w:val="4"/>
        <w:keepNext w:val="0"/>
        <w:keepLines w:val="0"/>
        <w:pageBreakBefore w:val="0"/>
        <w:widowControl/>
        <w:shd w:val="clear" w:color="auto" w:fill="FFFFFF"/>
        <w:kinsoku/>
        <w:wordWrap/>
        <w:overflowPunct/>
        <w:topLinePunct w:val="0"/>
        <w:autoSpaceDE/>
        <w:autoSpaceDN/>
        <w:bidi w:val="0"/>
        <w:adjustRightInd/>
        <w:snapToGrid/>
        <w:spacing w:line="600" w:lineRule="exact"/>
        <w:ind w:firstLine="629"/>
        <w:jc w:val="both"/>
        <w:textAlignment w:val="auto"/>
        <w:rPr>
          <w:rFonts w:hint="eastAsia" w:ascii="仿宋_GB2312" w:hAnsi="仿宋_GB2312" w:eastAsia="仿宋_GB2312" w:cs="仿宋_GB2312"/>
          <w:color w:val="333333"/>
          <w:sz w:val="32"/>
          <w:szCs w:val="32"/>
        </w:rPr>
      </w:pPr>
      <w:r>
        <w:rPr>
          <w:rStyle w:val="9"/>
          <w:rFonts w:hint="eastAsia" w:ascii="仿宋_GB2312" w:hAnsi="仿宋_GB2312" w:eastAsia="仿宋_GB2312" w:cs="仿宋_GB2312"/>
          <w:color w:val="333333"/>
          <w:sz w:val="32"/>
          <w:szCs w:val="32"/>
        </w:rPr>
        <w:t>第四条</w:t>
      </w:r>
      <w:r>
        <w:rPr>
          <w:rFonts w:hint="eastAsia" w:ascii="仿宋_GB2312" w:hAnsi="仿宋_GB2312" w:eastAsia="仿宋_GB2312" w:cs="仿宋_GB2312"/>
          <w:color w:val="333333"/>
          <w:sz w:val="32"/>
          <w:szCs w:val="32"/>
        </w:rPr>
        <w:t xml:space="preserve"> </w:t>
      </w:r>
      <w:r>
        <w:rPr>
          <w:rStyle w:val="9"/>
          <w:rFonts w:hint="eastAsia" w:ascii="仿宋_GB2312" w:hAnsi="仿宋_GB2312" w:eastAsia="仿宋_GB2312" w:cs="仿宋_GB2312"/>
          <w:color w:val="333333"/>
          <w:sz w:val="32"/>
          <w:szCs w:val="32"/>
        </w:rPr>
        <w:t>行政执法机关对符合刑事追诉标准、涉嫌犯罪的案件，应在本单位办案部门提出移送涉嫌犯罪案件的书面报告之日起</w:t>
      </w:r>
      <w:r>
        <w:rPr>
          <w:rFonts w:hint="eastAsia" w:ascii="仿宋_GB2312" w:hAnsi="仿宋_GB2312" w:eastAsia="仿宋_GB2312" w:cs="仿宋_GB2312"/>
          <w:color w:val="333333"/>
          <w:sz w:val="32"/>
          <w:szCs w:val="32"/>
        </w:rPr>
        <w:t>3个工作日内作出批准移送或者不批准移送的决定。决定批准的，应在24小时内向有管辖权的公安机关移送；决定不批准的，应将不予批准的理由记录在案，并在作出行政处罚10个工作日将《行政处罚决定书》副本报同级检察机关备案。</w:t>
      </w:r>
    </w:p>
    <w:p w14:paraId="1A129F29">
      <w:pPr>
        <w:pStyle w:val="4"/>
        <w:shd w:val="clear" w:color="auto" w:fill="FFFFFF"/>
        <w:spacing w:line="500" w:lineRule="exact"/>
        <w:ind w:firstLine="4710" w:firstLineChars="1472"/>
        <w:jc w:val="both"/>
        <w:rPr>
          <w:rFonts w:hint="eastAsia" w:ascii="仿宋_GB2312" w:hAnsi="仿宋_GB2312" w:eastAsia="仿宋_GB2312" w:cs="仿宋_GB2312"/>
          <w:color w:val="333333"/>
          <w:sz w:val="32"/>
          <w:szCs w:val="32"/>
          <w:lang w:eastAsia="zh-CN"/>
        </w:rPr>
      </w:pPr>
      <w:r>
        <w:rPr>
          <w:rFonts w:hint="eastAsia" w:ascii="仿宋_GB2312" w:hAnsi="仿宋_GB2312" w:eastAsia="仿宋_GB2312" w:cs="仿宋_GB2312"/>
          <w:color w:val="333333"/>
          <w:sz w:val="32"/>
          <w:szCs w:val="32"/>
          <w:lang w:eastAsia="zh-CN"/>
        </w:rPr>
        <w:t>周至县交通运输局</w:t>
      </w:r>
    </w:p>
    <w:p w14:paraId="34B76319">
      <w:pPr>
        <w:pStyle w:val="4"/>
        <w:shd w:val="clear" w:color="auto" w:fill="FFFFFF"/>
        <w:spacing w:line="500" w:lineRule="exact"/>
        <w:ind w:firstLine="4870" w:firstLineChars="1522"/>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2022年</w:t>
      </w:r>
      <w:r>
        <w:rPr>
          <w:rFonts w:hint="eastAsia" w:ascii="仿宋_GB2312" w:hAnsi="仿宋_GB2312" w:eastAsia="仿宋_GB2312" w:cs="仿宋_GB2312"/>
          <w:color w:val="333333"/>
          <w:sz w:val="32"/>
          <w:szCs w:val="32"/>
        </w:rPr>
        <w:t>7</w:t>
      </w:r>
      <w:r>
        <w:rPr>
          <w:rFonts w:hint="eastAsia" w:ascii="仿宋_GB2312" w:hAnsi="仿宋_GB2312" w:eastAsia="仿宋_GB2312" w:cs="仿宋_GB2312"/>
          <w:color w:val="333333"/>
          <w:sz w:val="32"/>
          <w:szCs w:val="32"/>
        </w:rPr>
        <w:t>月1</w:t>
      </w:r>
      <w:r>
        <w:rPr>
          <w:rFonts w:hint="eastAsia" w:ascii="仿宋_GB2312" w:hAnsi="仿宋_GB2312" w:eastAsia="仿宋_GB2312" w:cs="仿宋_GB2312"/>
          <w:color w:val="333333"/>
          <w:sz w:val="32"/>
          <w:szCs w:val="32"/>
        </w:rPr>
        <w:t>5</w:t>
      </w:r>
      <w:r>
        <w:rPr>
          <w:rFonts w:hint="eastAsia" w:ascii="仿宋_GB2312" w:hAnsi="仿宋_GB2312" w:eastAsia="仿宋_GB2312" w:cs="仿宋_GB2312"/>
          <w:color w:val="333333"/>
          <w:sz w:val="32"/>
          <w:szCs w:val="32"/>
        </w:rPr>
        <w:t>日</w:t>
      </w:r>
    </w:p>
    <w:p w14:paraId="3C6F942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A3C1F9A"/>
    <w:multiLevelType w:val="singleLevel"/>
    <w:tmpl w:val="4A3C1F9A"/>
    <w:lvl w:ilvl="0" w:tentative="0">
      <w:start w:val="1"/>
      <w:numFmt w:val="chineseCounting"/>
      <w:suff w:val="space"/>
      <w:lvlText w:val="第%1条"/>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FlYTk2YjRiY2I4NWE3ODg3OWEzOWE3ZDMwYWVhZGEifQ=="/>
  </w:docVars>
  <w:rsids>
    <w:rsidRoot w:val="008A41A7"/>
    <w:rsid w:val="00493F17"/>
    <w:rsid w:val="005711BB"/>
    <w:rsid w:val="0064541A"/>
    <w:rsid w:val="00844C0C"/>
    <w:rsid w:val="008A41A7"/>
    <w:rsid w:val="00A80053"/>
    <w:rsid w:val="00AD59B2"/>
    <w:rsid w:val="00DF466F"/>
    <w:rsid w:val="00FF1ABC"/>
    <w:rsid w:val="29A5000A"/>
    <w:rsid w:val="5EE5AD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7">
    <w:name w:val="页眉 Char"/>
    <w:basedOn w:val="6"/>
    <w:link w:val="3"/>
    <w:semiHidden/>
    <w:qFormat/>
    <w:uiPriority w:val="99"/>
    <w:rPr>
      <w:sz w:val="18"/>
      <w:szCs w:val="18"/>
    </w:rPr>
  </w:style>
  <w:style w:type="character" w:customStyle="1" w:styleId="8">
    <w:name w:val="页脚 Char"/>
    <w:basedOn w:val="6"/>
    <w:link w:val="2"/>
    <w:semiHidden/>
    <w:qFormat/>
    <w:uiPriority w:val="99"/>
    <w:rPr>
      <w:sz w:val="18"/>
      <w:szCs w:val="18"/>
    </w:rPr>
  </w:style>
  <w:style w:type="character" w:customStyle="1" w:styleId="9">
    <w:name w:val="text-tag"/>
    <w:basedOn w:val="6"/>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600</Words>
  <Characters>606</Characters>
  <Lines>4</Lines>
  <Paragraphs>1</Paragraphs>
  <TotalTime>5</TotalTime>
  <ScaleCrop>false</ScaleCrop>
  <LinksUpToDate>false</LinksUpToDate>
  <CharactersWithSpaces>610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2022-09-13T09:23:00Z</dcterms:created>
  <dc:creator>Administrator</dc:creator>
  <cp:lastModifiedBy>愛殇璃</cp:lastModifiedBy>
  <dcterms:modified xsi:type="dcterms:W3CDTF">2024-10-16T08:29:57Z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D30ED5105C3B48AF8B8ECD66901320AA_13</vt:lpwstr>
  </property>
</Properties>
</file>