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A62C">
      <w:pPr>
        <w:pStyle w:val="29"/>
        <w:rPr>
          <w:color w:val="auto"/>
        </w:rPr>
      </w:pPr>
      <w:r>
        <w:rPr>
          <w:rFonts w:hint="eastAsia"/>
          <w:color w:val="auto"/>
        </w:rPr>
        <w:t>一、建设项目基本情况</w:t>
      </w:r>
    </w:p>
    <w:tbl>
      <w:tblPr>
        <w:tblStyle w:val="19"/>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2483"/>
        <w:gridCol w:w="1888"/>
        <w:gridCol w:w="3236"/>
      </w:tblGrid>
      <w:tr w14:paraId="3E773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00432C18">
            <w:pPr>
              <w:pStyle w:val="28"/>
              <w:rPr>
                <w:rFonts w:ascii="黑体" w:hAnsi="黑体" w:eastAsia="黑体"/>
                <w:color w:val="auto"/>
                <w:kern w:val="0"/>
                <w:sz w:val="24"/>
              </w:rPr>
            </w:pPr>
            <w:r>
              <w:rPr>
                <w:rFonts w:hint="eastAsia"/>
                <w:color w:val="auto"/>
                <w:sz w:val="24"/>
              </w:rPr>
              <w:t>建设项目名称</w:t>
            </w:r>
          </w:p>
        </w:tc>
        <w:tc>
          <w:tcPr>
            <w:tcW w:w="7607" w:type="dxa"/>
            <w:gridSpan w:val="3"/>
            <w:vAlign w:val="center"/>
          </w:tcPr>
          <w:p w14:paraId="1071A02F">
            <w:pPr>
              <w:pStyle w:val="28"/>
              <w:rPr>
                <w:rFonts w:hint="eastAsia" w:eastAsia="宋体"/>
                <w:color w:val="auto"/>
                <w:sz w:val="24"/>
                <w:lang w:eastAsia="zh-CN"/>
              </w:rPr>
            </w:pPr>
            <w:r>
              <w:rPr>
                <w:rFonts w:hint="eastAsia"/>
                <w:color w:val="auto"/>
                <w:sz w:val="24"/>
                <w:lang w:eastAsia="zh-CN"/>
              </w:rPr>
              <w:t>周至县湑水河老县城村段防洪治理工程</w:t>
            </w:r>
          </w:p>
        </w:tc>
      </w:tr>
      <w:tr w14:paraId="71E36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4BBBEA29">
            <w:pPr>
              <w:pStyle w:val="28"/>
              <w:rPr>
                <w:rFonts w:ascii="黑体" w:hAnsi="黑体" w:eastAsia="黑体"/>
                <w:color w:val="auto"/>
                <w:kern w:val="0"/>
                <w:sz w:val="24"/>
              </w:rPr>
            </w:pPr>
            <w:r>
              <w:rPr>
                <w:rFonts w:hint="eastAsia"/>
                <w:color w:val="auto"/>
                <w:sz w:val="24"/>
              </w:rPr>
              <w:t>项目代码</w:t>
            </w:r>
          </w:p>
        </w:tc>
        <w:tc>
          <w:tcPr>
            <w:tcW w:w="7607" w:type="dxa"/>
            <w:gridSpan w:val="3"/>
            <w:vAlign w:val="center"/>
          </w:tcPr>
          <w:p w14:paraId="042D7D38">
            <w:pPr>
              <w:pStyle w:val="28"/>
              <w:rPr>
                <w:color w:val="auto"/>
                <w:sz w:val="24"/>
              </w:rPr>
            </w:pPr>
            <w:r>
              <w:rPr>
                <w:rFonts w:hint="eastAsia"/>
                <w:color w:val="auto"/>
                <w:sz w:val="24"/>
              </w:rPr>
              <w:t>无</w:t>
            </w:r>
          </w:p>
        </w:tc>
      </w:tr>
      <w:tr w14:paraId="5EC44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1204C265">
            <w:pPr>
              <w:pStyle w:val="28"/>
              <w:rPr>
                <w:rFonts w:ascii="黑体" w:hAnsi="黑体" w:eastAsia="黑体"/>
                <w:color w:val="auto"/>
                <w:kern w:val="0"/>
                <w:sz w:val="24"/>
              </w:rPr>
            </w:pPr>
            <w:r>
              <w:rPr>
                <w:rFonts w:hint="eastAsia"/>
                <w:color w:val="auto"/>
                <w:sz w:val="24"/>
              </w:rPr>
              <w:t>建设单位联系人</w:t>
            </w:r>
          </w:p>
        </w:tc>
        <w:tc>
          <w:tcPr>
            <w:tcW w:w="2483" w:type="dxa"/>
            <w:vAlign w:val="center"/>
          </w:tcPr>
          <w:p w14:paraId="2485AA1D">
            <w:pPr>
              <w:pStyle w:val="28"/>
              <w:rPr>
                <w:color w:val="auto"/>
                <w:sz w:val="24"/>
              </w:rPr>
            </w:pPr>
            <w:r>
              <w:rPr>
                <w:rFonts w:hint="eastAsia"/>
                <w:color w:val="auto"/>
                <w:sz w:val="24"/>
              </w:rPr>
              <w:t>闫护朝</w:t>
            </w:r>
          </w:p>
        </w:tc>
        <w:tc>
          <w:tcPr>
            <w:tcW w:w="1888" w:type="dxa"/>
            <w:vAlign w:val="center"/>
          </w:tcPr>
          <w:p w14:paraId="1836E6F9">
            <w:pPr>
              <w:pStyle w:val="28"/>
              <w:rPr>
                <w:color w:val="auto"/>
                <w:sz w:val="24"/>
              </w:rPr>
            </w:pPr>
            <w:r>
              <w:rPr>
                <w:rFonts w:hint="eastAsia"/>
                <w:color w:val="auto"/>
                <w:sz w:val="24"/>
              </w:rPr>
              <w:t>联系方式</w:t>
            </w:r>
          </w:p>
        </w:tc>
        <w:tc>
          <w:tcPr>
            <w:tcW w:w="3236" w:type="dxa"/>
            <w:vAlign w:val="center"/>
          </w:tcPr>
          <w:p w14:paraId="17F75274">
            <w:pPr>
              <w:pStyle w:val="28"/>
              <w:rPr>
                <w:color w:val="auto"/>
                <w:sz w:val="24"/>
              </w:rPr>
            </w:pPr>
            <w:r>
              <w:rPr>
                <w:color w:val="auto"/>
                <w:sz w:val="24"/>
              </w:rPr>
              <w:t>137</w:t>
            </w:r>
            <w:r>
              <w:rPr>
                <w:rFonts w:hint="eastAsia"/>
                <w:color w:val="auto"/>
                <w:sz w:val="24"/>
                <w:lang w:val="en-US" w:eastAsia="zh-CN"/>
              </w:rPr>
              <w:t>****</w:t>
            </w:r>
            <w:r>
              <w:rPr>
                <w:color w:val="auto"/>
                <w:sz w:val="24"/>
              </w:rPr>
              <w:t>3881</w:t>
            </w:r>
          </w:p>
        </w:tc>
      </w:tr>
      <w:tr w14:paraId="6C1CC9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5FDFA0D6">
            <w:pPr>
              <w:pStyle w:val="28"/>
              <w:rPr>
                <w:rFonts w:ascii="黑体" w:hAnsi="黑体" w:eastAsia="黑体"/>
                <w:color w:val="auto"/>
                <w:kern w:val="0"/>
                <w:sz w:val="24"/>
              </w:rPr>
            </w:pPr>
            <w:r>
              <w:rPr>
                <w:rFonts w:hint="eastAsia"/>
                <w:color w:val="auto"/>
                <w:sz w:val="24"/>
              </w:rPr>
              <w:t>建设地点</w:t>
            </w:r>
          </w:p>
        </w:tc>
        <w:tc>
          <w:tcPr>
            <w:tcW w:w="7607" w:type="dxa"/>
            <w:gridSpan w:val="3"/>
            <w:vAlign w:val="center"/>
          </w:tcPr>
          <w:p w14:paraId="7B5739AF">
            <w:pPr>
              <w:pStyle w:val="28"/>
              <w:rPr>
                <w:rFonts w:hint="default" w:eastAsia="宋体"/>
                <w:color w:val="auto"/>
                <w:sz w:val="24"/>
                <w:lang w:val="en-US" w:eastAsia="zh-CN"/>
              </w:rPr>
            </w:pPr>
            <w:bookmarkStart w:id="0" w:name="_Hlk80263732"/>
            <w:r>
              <w:rPr>
                <w:rFonts w:hint="eastAsia"/>
                <w:color w:val="auto"/>
                <w:sz w:val="24"/>
                <w:u w:val="single"/>
              </w:rPr>
              <w:t>陕西省西安市周至县</w:t>
            </w:r>
            <w:bookmarkEnd w:id="0"/>
            <w:r>
              <w:rPr>
                <w:rFonts w:hint="eastAsia"/>
                <w:color w:val="auto"/>
                <w:sz w:val="24"/>
                <w:u w:val="single"/>
              </w:rPr>
              <w:t>厚畛子镇老县城村段</w:t>
            </w:r>
          </w:p>
        </w:tc>
      </w:tr>
      <w:tr w14:paraId="179B6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1DABDF74">
            <w:pPr>
              <w:pStyle w:val="28"/>
              <w:rPr>
                <w:rFonts w:ascii="黑体" w:hAnsi="黑体" w:eastAsia="黑体"/>
                <w:color w:val="auto"/>
                <w:kern w:val="0"/>
                <w:sz w:val="24"/>
              </w:rPr>
            </w:pPr>
            <w:r>
              <w:rPr>
                <w:rFonts w:hint="eastAsia"/>
                <w:color w:val="auto"/>
                <w:sz w:val="24"/>
              </w:rPr>
              <w:t>地理坐标</w:t>
            </w:r>
          </w:p>
        </w:tc>
        <w:tc>
          <w:tcPr>
            <w:tcW w:w="7607" w:type="dxa"/>
            <w:gridSpan w:val="3"/>
            <w:vAlign w:val="center"/>
          </w:tcPr>
          <w:p w14:paraId="070BAC92">
            <w:pPr>
              <w:pStyle w:val="28"/>
              <w:rPr>
                <w:color w:val="auto"/>
                <w:sz w:val="24"/>
              </w:rPr>
            </w:pPr>
            <w:r>
              <w:rPr>
                <w:rFonts w:hint="eastAsia"/>
                <w:color w:val="auto"/>
                <w:sz w:val="24"/>
              </w:rPr>
              <w:t>起点（经度：</w:t>
            </w:r>
            <w:r>
              <w:rPr>
                <w:color w:val="auto"/>
                <w:sz w:val="24"/>
                <w:u w:val="single"/>
              </w:rPr>
              <w:t>10</w:t>
            </w:r>
            <w:r>
              <w:rPr>
                <w:rFonts w:hint="eastAsia"/>
                <w:color w:val="auto"/>
                <w:sz w:val="24"/>
                <w:u w:val="single"/>
                <w:lang w:val="en-US" w:eastAsia="zh-CN"/>
              </w:rPr>
              <w:t>7</w:t>
            </w:r>
            <w:r>
              <w:rPr>
                <w:color w:val="auto"/>
                <w:sz w:val="24"/>
              </w:rPr>
              <w:t>°</w:t>
            </w:r>
            <w:r>
              <w:rPr>
                <w:rFonts w:hint="eastAsia"/>
                <w:color w:val="auto"/>
                <w:sz w:val="24"/>
                <w:lang w:val="en-US" w:eastAsia="zh-CN"/>
              </w:rPr>
              <w:t>44</w:t>
            </w:r>
            <w:r>
              <w:rPr>
                <w:color w:val="auto"/>
                <w:sz w:val="24"/>
              </w:rPr>
              <w:t>′</w:t>
            </w:r>
            <w:r>
              <w:rPr>
                <w:rFonts w:hint="eastAsia"/>
                <w:color w:val="auto"/>
                <w:sz w:val="24"/>
                <w:u w:val="single"/>
                <w:lang w:val="en-US" w:eastAsia="zh-CN"/>
              </w:rPr>
              <w:t>15.161</w:t>
            </w:r>
            <w:r>
              <w:rPr>
                <w:color w:val="auto"/>
                <w:sz w:val="24"/>
              </w:rPr>
              <w:t>″，纬度：</w:t>
            </w:r>
            <w:r>
              <w:rPr>
                <w:color w:val="auto"/>
                <w:sz w:val="24"/>
                <w:u w:val="single"/>
              </w:rPr>
              <w:t>3</w:t>
            </w:r>
            <w:r>
              <w:rPr>
                <w:rFonts w:hint="eastAsia"/>
                <w:color w:val="auto"/>
                <w:sz w:val="24"/>
                <w:u w:val="single"/>
                <w:lang w:val="en-US" w:eastAsia="zh-CN"/>
              </w:rPr>
              <w:t>3</w:t>
            </w:r>
            <w:r>
              <w:rPr>
                <w:color w:val="auto"/>
                <w:sz w:val="24"/>
              </w:rPr>
              <w:t>°</w:t>
            </w:r>
            <w:r>
              <w:rPr>
                <w:rFonts w:hint="eastAsia"/>
                <w:color w:val="auto"/>
                <w:sz w:val="24"/>
                <w:u w:val="single"/>
                <w:lang w:val="en-US" w:eastAsia="zh-CN"/>
              </w:rPr>
              <w:t>48</w:t>
            </w:r>
            <w:r>
              <w:rPr>
                <w:color w:val="auto"/>
                <w:sz w:val="24"/>
              </w:rPr>
              <w:t>′</w:t>
            </w:r>
            <w:r>
              <w:rPr>
                <w:rFonts w:hint="eastAsia"/>
                <w:color w:val="auto"/>
                <w:sz w:val="24"/>
                <w:u w:val="single"/>
                <w:lang w:val="en-US" w:eastAsia="zh-CN"/>
              </w:rPr>
              <w:t>22.735</w:t>
            </w:r>
            <w:r>
              <w:rPr>
                <w:color w:val="auto"/>
                <w:sz w:val="24"/>
              </w:rPr>
              <w:t>″</w:t>
            </w:r>
            <w:r>
              <w:rPr>
                <w:rFonts w:hint="eastAsia"/>
                <w:color w:val="auto"/>
                <w:sz w:val="24"/>
              </w:rPr>
              <w:t>）</w:t>
            </w:r>
          </w:p>
          <w:p w14:paraId="3ED5A263">
            <w:pPr>
              <w:pStyle w:val="28"/>
              <w:rPr>
                <w:color w:val="auto"/>
                <w:sz w:val="24"/>
              </w:rPr>
            </w:pPr>
            <w:r>
              <w:rPr>
                <w:rFonts w:hint="eastAsia"/>
                <w:color w:val="auto"/>
                <w:sz w:val="24"/>
              </w:rPr>
              <w:t>终点（经度：</w:t>
            </w:r>
            <w:r>
              <w:rPr>
                <w:color w:val="auto"/>
                <w:sz w:val="24"/>
                <w:u w:val="single"/>
              </w:rPr>
              <w:t>10</w:t>
            </w:r>
            <w:r>
              <w:rPr>
                <w:rFonts w:hint="eastAsia"/>
                <w:color w:val="auto"/>
                <w:sz w:val="24"/>
                <w:u w:val="single"/>
                <w:lang w:val="en-US" w:eastAsia="zh-CN"/>
              </w:rPr>
              <w:t>7</w:t>
            </w:r>
            <w:r>
              <w:rPr>
                <w:color w:val="auto"/>
                <w:sz w:val="24"/>
              </w:rPr>
              <w:t>°</w:t>
            </w:r>
            <w:r>
              <w:rPr>
                <w:rFonts w:hint="eastAsia"/>
                <w:color w:val="auto"/>
                <w:sz w:val="24"/>
                <w:u w:val="single"/>
                <w:lang w:val="en-US" w:eastAsia="zh-CN"/>
              </w:rPr>
              <w:t>45</w:t>
            </w:r>
            <w:r>
              <w:rPr>
                <w:color w:val="auto"/>
                <w:sz w:val="24"/>
              </w:rPr>
              <w:t>′</w:t>
            </w:r>
            <w:r>
              <w:rPr>
                <w:rFonts w:hint="eastAsia"/>
                <w:color w:val="auto"/>
                <w:sz w:val="24"/>
                <w:u w:val="single"/>
                <w:lang w:val="en-US" w:eastAsia="zh-CN"/>
              </w:rPr>
              <w:t>37</w:t>
            </w:r>
            <w:r>
              <w:rPr>
                <w:color w:val="auto"/>
                <w:sz w:val="24"/>
                <w:u w:val="single"/>
              </w:rPr>
              <w:t>.</w:t>
            </w:r>
            <w:r>
              <w:rPr>
                <w:rFonts w:hint="eastAsia"/>
                <w:color w:val="auto"/>
                <w:sz w:val="24"/>
                <w:u w:val="single"/>
                <w:lang w:val="en-US" w:eastAsia="zh-CN"/>
              </w:rPr>
              <w:t>623</w:t>
            </w:r>
            <w:r>
              <w:rPr>
                <w:color w:val="auto"/>
                <w:sz w:val="24"/>
              </w:rPr>
              <w:t>″，纬度：</w:t>
            </w:r>
            <w:r>
              <w:rPr>
                <w:color w:val="auto"/>
                <w:sz w:val="24"/>
                <w:u w:val="single"/>
              </w:rPr>
              <w:t>3</w:t>
            </w:r>
            <w:r>
              <w:rPr>
                <w:rFonts w:hint="eastAsia"/>
                <w:color w:val="auto"/>
                <w:sz w:val="24"/>
                <w:u w:val="single"/>
                <w:lang w:val="en-US" w:eastAsia="zh-CN"/>
              </w:rPr>
              <w:t>3</w:t>
            </w:r>
            <w:r>
              <w:rPr>
                <w:color w:val="auto"/>
                <w:sz w:val="24"/>
              </w:rPr>
              <w:t>°</w:t>
            </w:r>
            <w:r>
              <w:rPr>
                <w:rFonts w:hint="eastAsia"/>
                <w:color w:val="auto"/>
                <w:sz w:val="24"/>
                <w:u w:val="single"/>
                <w:lang w:val="en-US" w:eastAsia="zh-CN"/>
              </w:rPr>
              <w:t>47</w:t>
            </w:r>
            <w:r>
              <w:rPr>
                <w:color w:val="auto"/>
                <w:sz w:val="24"/>
                <w:u w:val="single"/>
              </w:rPr>
              <w:t>′</w:t>
            </w:r>
            <w:r>
              <w:rPr>
                <w:rFonts w:hint="eastAsia"/>
                <w:color w:val="auto"/>
                <w:sz w:val="24"/>
                <w:u w:val="single"/>
                <w:lang w:val="en-US" w:eastAsia="zh-CN"/>
              </w:rPr>
              <w:t>33.339</w:t>
            </w:r>
            <w:r>
              <w:rPr>
                <w:color w:val="auto"/>
                <w:sz w:val="24"/>
              </w:rPr>
              <w:t>″</w:t>
            </w:r>
            <w:r>
              <w:rPr>
                <w:rFonts w:hint="eastAsia"/>
                <w:color w:val="auto"/>
                <w:sz w:val="24"/>
              </w:rPr>
              <w:t>）</w:t>
            </w:r>
          </w:p>
        </w:tc>
      </w:tr>
      <w:tr w14:paraId="4E415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5216BDA0">
            <w:pPr>
              <w:pStyle w:val="28"/>
              <w:rPr>
                <w:color w:val="auto"/>
                <w:sz w:val="24"/>
              </w:rPr>
            </w:pPr>
            <w:r>
              <w:rPr>
                <w:rFonts w:hint="eastAsia"/>
                <w:color w:val="auto"/>
                <w:sz w:val="24"/>
              </w:rPr>
              <w:t>建设项目</w:t>
            </w:r>
          </w:p>
          <w:p w14:paraId="338F0F22">
            <w:pPr>
              <w:pStyle w:val="28"/>
              <w:rPr>
                <w:rFonts w:ascii="黑体" w:hAnsi="黑体" w:eastAsia="黑体"/>
                <w:color w:val="auto"/>
                <w:kern w:val="0"/>
                <w:sz w:val="24"/>
              </w:rPr>
            </w:pPr>
            <w:r>
              <w:rPr>
                <w:rFonts w:hint="eastAsia"/>
                <w:color w:val="auto"/>
                <w:sz w:val="24"/>
              </w:rPr>
              <w:t>行业类别</w:t>
            </w:r>
          </w:p>
        </w:tc>
        <w:tc>
          <w:tcPr>
            <w:tcW w:w="2483" w:type="dxa"/>
            <w:vAlign w:val="center"/>
          </w:tcPr>
          <w:p w14:paraId="7AE5AC7F">
            <w:pPr>
              <w:pStyle w:val="28"/>
              <w:jc w:val="both"/>
              <w:rPr>
                <w:color w:val="auto"/>
                <w:sz w:val="24"/>
              </w:rPr>
            </w:pPr>
            <w:r>
              <w:rPr>
                <w:rFonts w:hint="eastAsia"/>
                <w:color w:val="auto"/>
                <w:sz w:val="24"/>
              </w:rPr>
              <w:t>五十一、水利</w:t>
            </w:r>
          </w:p>
          <w:p w14:paraId="5490128F">
            <w:pPr>
              <w:pStyle w:val="28"/>
              <w:jc w:val="both"/>
              <w:rPr>
                <w:color w:val="auto"/>
                <w:sz w:val="24"/>
              </w:rPr>
            </w:pPr>
            <w:r>
              <w:rPr>
                <w:rFonts w:hint="eastAsia"/>
                <w:color w:val="auto"/>
                <w:sz w:val="24"/>
              </w:rPr>
              <w:t>127.防洪治涝工程—其他（小型沟渠的护坡除外；城镇排涝河流水闸、排涝泵站除外）</w:t>
            </w:r>
          </w:p>
        </w:tc>
        <w:tc>
          <w:tcPr>
            <w:tcW w:w="1888" w:type="dxa"/>
            <w:vAlign w:val="center"/>
          </w:tcPr>
          <w:p w14:paraId="664AA8D6">
            <w:pPr>
              <w:pStyle w:val="28"/>
              <w:rPr>
                <w:color w:val="auto"/>
                <w:sz w:val="24"/>
              </w:rPr>
            </w:pPr>
            <w:r>
              <w:rPr>
                <w:rFonts w:hint="eastAsia"/>
                <w:color w:val="auto"/>
                <w:sz w:val="24"/>
              </w:rPr>
              <w:t>用地面积（m</w:t>
            </w:r>
            <w:r>
              <w:rPr>
                <w:rFonts w:hint="eastAsia"/>
                <w:color w:val="auto"/>
                <w:sz w:val="24"/>
                <w:vertAlign w:val="superscript"/>
              </w:rPr>
              <w:t>2</w:t>
            </w:r>
            <w:r>
              <w:rPr>
                <w:rFonts w:hint="eastAsia"/>
                <w:color w:val="auto"/>
                <w:sz w:val="24"/>
              </w:rPr>
              <w:t>）/长度（km）</w:t>
            </w:r>
          </w:p>
        </w:tc>
        <w:tc>
          <w:tcPr>
            <w:tcW w:w="3236" w:type="dxa"/>
            <w:vAlign w:val="center"/>
          </w:tcPr>
          <w:p w14:paraId="5AF0DCD3">
            <w:pPr>
              <w:pStyle w:val="28"/>
              <w:rPr>
                <w:rFonts w:hint="default"/>
                <w:color w:val="auto"/>
                <w:sz w:val="24"/>
                <w:lang w:val="en-US" w:eastAsia="zh-CN"/>
              </w:rPr>
            </w:pPr>
            <w:r>
              <w:rPr>
                <w:rFonts w:hint="eastAsia"/>
                <w:color w:val="auto"/>
                <w:sz w:val="24"/>
                <w:lang w:val="en-US" w:eastAsia="zh-CN"/>
              </w:rPr>
              <w:t>永久占地：9733.82</w:t>
            </w:r>
            <w:r>
              <w:rPr>
                <w:rFonts w:hint="eastAsia"/>
                <w:color w:val="auto"/>
                <w:sz w:val="24"/>
              </w:rPr>
              <w:t>m</w:t>
            </w:r>
            <w:r>
              <w:rPr>
                <w:rFonts w:hint="eastAsia"/>
                <w:color w:val="auto"/>
                <w:sz w:val="24"/>
                <w:vertAlign w:val="superscript"/>
              </w:rPr>
              <w:t>2</w:t>
            </w:r>
          </w:p>
          <w:p w14:paraId="78C2C65F">
            <w:pPr>
              <w:pStyle w:val="28"/>
              <w:rPr>
                <w:color w:val="auto"/>
                <w:sz w:val="24"/>
              </w:rPr>
            </w:pPr>
            <w:r>
              <w:rPr>
                <w:rFonts w:hint="eastAsia"/>
                <w:color w:val="auto"/>
                <w:sz w:val="24"/>
              </w:rPr>
              <w:t>临时占地</w:t>
            </w:r>
            <w:r>
              <w:rPr>
                <w:rFonts w:hint="eastAsia"/>
                <w:color w:val="auto"/>
                <w:sz w:val="24"/>
                <w:lang w:eastAsia="zh-CN"/>
              </w:rPr>
              <w:t>：</w:t>
            </w:r>
            <w:r>
              <w:rPr>
                <w:rFonts w:hint="eastAsia"/>
                <w:color w:val="auto"/>
                <w:sz w:val="24"/>
                <w:lang w:val="en-US" w:eastAsia="zh-CN"/>
              </w:rPr>
              <w:t>12400.62</w:t>
            </w:r>
            <w:r>
              <w:rPr>
                <w:rFonts w:hint="eastAsia"/>
                <w:color w:val="auto"/>
                <w:sz w:val="24"/>
              </w:rPr>
              <w:t>m</w:t>
            </w:r>
            <w:r>
              <w:rPr>
                <w:rFonts w:hint="eastAsia"/>
                <w:color w:val="auto"/>
                <w:sz w:val="24"/>
                <w:vertAlign w:val="superscript"/>
              </w:rPr>
              <w:t>2</w:t>
            </w:r>
          </w:p>
          <w:p w14:paraId="723A6767">
            <w:pPr>
              <w:pStyle w:val="28"/>
              <w:rPr>
                <w:color w:val="auto"/>
                <w:sz w:val="24"/>
              </w:rPr>
            </w:pPr>
            <w:r>
              <w:rPr>
                <w:rFonts w:hint="eastAsia"/>
                <w:color w:val="auto"/>
                <w:sz w:val="24"/>
                <w:lang w:val="en-US" w:eastAsia="zh-CN"/>
              </w:rPr>
              <w:t>工程长度：2.78</w:t>
            </w:r>
            <w:r>
              <w:rPr>
                <w:color w:val="auto"/>
                <w:sz w:val="24"/>
              </w:rPr>
              <w:t>km</w:t>
            </w:r>
          </w:p>
        </w:tc>
      </w:tr>
      <w:tr w14:paraId="6D10F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7F2DB95F">
            <w:pPr>
              <w:pStyle w:val="28"/>
              <w:rPr>
                <w:rFonts w:ascii="黑体" w:hAnsi="黑体" w:eastAsia="黑体"/>
                <w:color w:val="auto"/>
                <w:kern w:val="0"/>
                <w:sz w:val="24"/>
              </w:rPr>
            </w:pPr>
            <w:r>
              <w:rPr>
                <w:rFonts w:hint="eastAsia"/>
                <w:color w:val="auto"/>
                <w:sz w:val="24"/>
              </w:rPr>
              <w:t>建设性质</w:t>
            </w:r>
          </w:p>
        </w:tc>
        <w:tc>
          <w:tcPr>
            <w:tcW w:w="2483" w:type="dxa"/>
            <w:vAlign w:val="center"/>
          </w:tcPr>
          <w:p w14:paraId="2DD53CC5">
            <w:pPr>
              <w:pStyle w:val="28"/>
              <w:jc w:val="both"/>
              <w:rPr>
                <w:color w:val="auto"/>
                <w:sz w:val="24"/>
              </w:rPr>
            </w:pPr>
            <w:r>
              <w:rPr>
                <w:rFonts w:ascii="Wingdings 2" w:hAnsi="Wingdings 2"/>
                <w:color w:val="auto"/>
                <w:sz w:val="24"/>
              </w:rPr>
              <w:t>R</w:t>
            </w:r>
            <w:r>
              <w:rPr>
                <w:rFonts w:hint="eastAsia"/>
                <w:color w:val="auto"/>
                <w:sz w:val="24"/>
              </w:rPr>
              <w:t>新建</w:t>
            </w:r>
          </w:p>
          <w:p w14:paraId="647CB509">
            <w:pPr>
              <w:pStyle w:val="28"/>
              <w:jc w:val="both"/>
              <w:rPr>
                <w:color w:val="auto"/>
                <w:sz w:val="24"/>
              </w:rPr>
            </w:pPr>
            <w:r>
              <w:rPr>
                <w:rFonts w:hint="eastAsia"/>
                <w:color w:val="auto"/>
                <w:sz w:val="24"/>
              </w:rPr>
              <w:t>□改建</w:t>
            </w:r>
          </w:p>
          <w:p w14:paraId="17777815">
            <w:pPr>
              <w:pStyle w:val="28"/>
              <w:jc w:val="both"/>
              <w:rPr>
                <w:color w:val="auto"/>
                <w:sz w:val="24"/>
              </w:rPr>
            </w:pPr>
            <w:r>
              <w:rPr>
                <w:rFonts w:hint="eastAsia"/>
                <w:color w:val="auto"/>
                <w:sz w:val="24"/>
              </w:rPr>
              <w:t>□扩建</w:t>
            </w:r>
          </w:p>
          <w:p w14:paraId="654684DC">
            <w:pPr>
              <w:pStyle w:val="28"/>
              <w:jc w:val="both"/>
              <w:rPr>
                <w:rFonts w:ascii="黑体" w:hAnsi="黑体" w:eastAsia="黑体"/>
                <w:color w:val="auto"/>
                <w:kern w:val="0"/>
                <w:sz w:val="24"/>
              </w:rPr>
            </w:pPr>
            <w:r>
              <w:rPr>
                <w:rFonts w:hint="eastAsia"/>
                <w:color w:val="auto"/>
                <w:sz w:val="24"/>
              </w:rPr>
              <w:t>□技术改造</w:t>
            </w:r>
          </w:p>
        </w:tc>
        <w:tc>
          <w:tcPr>
            <w:tcW w:w="1888" w:type="dxa"/>
            <w:vAlign w:val="center"/>
          </w:tcPr>
          <w:p w14:paraId="6C047127">
            <w:pPr>
              <w:pStyle w:val="28"/>
              <w:rPr>
                <w:color w:val="auto"/>
                <w:sz w:val="24"/>
              </w:rPr>
            </w:pPr>
            <w:r>
              <w:rPr>
                <w:rFonts w:hint="eastAsia"/>
                <w:color w:val="auto"/>
                <w:sz w:val="24"/>
              </w:rPr>
              <w:t>建设项目</w:t>
            </w:r>
          </w:p>
          <w:p w14:paraId="7AFF4A27">
            <w:pPr>
              <w:pStyle w:val="28"/>
              <w:rPr>
                <w:color w:val="auto"/>
                <w:sz w:val="24"/>
              </w:rPr>
            </w:pPr>
            <w:r>
              <w:rPr>
                <w:rFonts w:hint="eastAsia"/>
                <w:color w:val="auto"/>
                <w:sz w:val="24"/>
              </w:rPr>
              <w:t>申报情形</w:t>
            </w:r>
          </w:p>
        </w:tc>
        <w:tc>
          <w:tcPr>
            <w:tcW w:w="3236" w:type="dxa"/>
            <w:vAlign w:val="center"/>
          </w:tcPr>
          <w:p w14:paraId="4DF1B35D">
            <w:pPr>
              <w:pStyle w:val="28"/>
              <w:jc w:val="both"/>
              <w:rPr>
                <w:color w:val="auto"/>
                <w:sz w:val="24"/>
              </w:rPr>
            </w:pPr>
            <w:r>
              <w:rPr>
                <w:rFonts w:ascii="Wingdings 2" w:hAnsi="Wingdings 2"/>
                <w:color w:val="auto"/>
                <w:sz w:val="24"/>
              </w:rPr>
              <w:t>R</w:t>
            </w:r>
            <w:r>
              <w:rPr>
                <w:rFonts w:hint="eastAsia"/>
                <w:color w:val="auto"/>
                <w:sz w:val="24"/>
              </w:rPr>
              <w:t>首次申报项目</w:t>
            </w:r>
          </w:p>
          <w:p w14:paraId="5CFBA1AB">
            <w:pPr>
              <w:pStyle w:val="28"/>
              <w:jc w:val="both"/>
              <w:rPr>
                <w:color w:val="auto"/>
                <w:sz w:val="24"/>
              </w:rPr>
            </w:pPr>
            <w:r>
              <w:rPr>
                <w:rFonts w:hint="eastAsia"/>
                <w:color w:val="auto"/>
                <w:sz w:val="24"/>
              </w:rPr>
              <w:t>□不予批准后再次申报项目</w:t>
            </w:r>
          </w:p>
          <w:p w14:paraId="7B0CD529">
            <w:pPr>
              <w:pStyle w:val="28"/>
              <w:jc w:val="both"/>
              <w:rPr>
                <w:color w:val="auto"/>
                <w:sz w:val="24"/>
              </w:rPr>
            </w:pPr>
            <w:r>
              <w:rPr>
                <w:rFonts w:hint="eastAsia"/>
                <w:color w:val="auto"/>
                <w:sz w:val="24"/>
              </w:rPr>
              <w:t>□超五年重新审核项目</w:t>
            </w:r>
          </w:p>
          <w:p w14:paraId="68BFCEA7">
            <w:pPr>
              <w:pStyle w:val="28"/>
              <w:jc w:val="both"/>
              <w:rPr>
                <w:rFonts w:ascii="黑体" w:hAnsi="黑体" w:eastAsia="黑体"/>
                <w:color w:val="auto"/>
                <w:kern w:val="0"/>
                <w:sz w:val="24"/>
              </w:rPr>
            </w:pPr>
            <w:r>
              <w:rPr>
                <w:rFonts w:hint="eastAsia"/>
                <w:color w:val="auto"/>
                <w:sz w:val="24"/>
              </w:rPr>
              <w:t>□重大变动重新报批项目</w:t>
            </w:r>
          </w:p>
        </w:tc>
      </w:tr>
      <w:tr w14:paraId="4D768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68963EC9">
            <w:pPr>
              <w:pStyle w:val="28"/>
              <w:rPr>
                <w:color w:val="auto"/>
                <w:sz w:val="24"/>
              </w:rPr>
            </w:pPr>
            <w:r>
              <w:rPr>
                <w:rFonts w:hint="eastAsia"/>
                <w:color w:val="auto"/>
                <w:sz w:val="24"/>
              </w:rPr>
              <w:t>项目审批（核准</w:t>
            </w:r>
            <w:r>
              <w:rPr>
                <w:color w:val="auto"/>
                <w:sz w:val="24"/>
              </w:rPr>
              <w:t>/</w:t>
            </w:r>
          </w:p>
          <w:p w14:paraId="430A49B3">
            <w:pPr>
              <w:pStyle w:val="28"/>
              <w:rPr>
                <w:rFonts w:ascii="黑体" w:hAnsi="黑体" w:eastAsia="黑体"/>
                <w:color w:val="auto"/>
                <w:kern w:val="0"/>
                <w:sz w:val="24"/>
              </w:rPr>
            </w:pPr>
            <w:r>
              <w:rPr>
                <w:rFonts w:hint="eastAsia"/>
                <w:color w:val="auto"/>
                <w:sz w:val="24"/>
              </w:rPr>
              <w:t>备案）部门（选填）</w:t>
            </w:r>
          </w:p>
        </w:tc>
        <w:tc>
          <w:tcPr>
            <w:tcW w:w="2483" w:type="dxa"/>
            <w:vAlign w:val="center"/>
          </w:tcPr>
          <w:p w14:paraId="401171FA">
            <w:pPr>
              <w:pStyle w:val="28"/>
              <w:rPr>
                <w:color w:val="auto"/>
                <w:sz w:val="24"/>
              </w:rPr>
            </w:pPr>
            <w:r>
              <w:rPr>
                <w:rFonts w:hint="eastAsia"/>
                <w:color w:val="auto"/>
                <w:sz w:val="24"/>
              </w:rPr>
              <w:t>周至县水务局</w:t>
            </w:r>
          </w:p>
        </w:tc>
        <w:tc>
          <w:tcPr>
            <w:tcW w:w="1888" w:type="dxa"/>
            <w:vAlign w:val="center"/>
          </w:tcPr>
          <w:p w14:paraId="75A95E55">
            <w:pPr>
              <w:pStyle w:val="28"/>
              <w:rPr>
                <w:color w:val="auto"/>
                <w:sz w:val="24"/>
              </w:rPr>
            </w:pPr>
            <w:r>
              <w:rPr>
                <w:rFonts w:hint="eastAsia"/>
                <w:color w:val="auto"/>
                <w:sz w:val="24"/>
              </w:rPr>
              <w:t>项目审批（核准/备案）文号（选填）</w:t>
            </w:r>
          </w:p>
        </w:tc>
        <w:tc>
          <w:tcPr>
            <w:tcW w:w="3236" w:type="dxa"/>
            <w:vAlign w:val="center"/>
          </w:tcPr>
          <w:p w14:paraId="19BF1016">
            <w:pPr>
              <w:pStyle w:val="28"/>
              <w:rPr>
                <w:color w:val="auto"/>
                <w:sz w:val="24"/>
              </w:rPr>
            </w:pPr>
            <w:r>
              <w:rPr>
                <w:rFonts w:hint="eastAsia"/>
                <w:color w:val="auto"/>
                <w:sz w:val="24"/>
              </w:rPr>
              <w:t>周水</w:t>
            </w:r>
            <w:r>
              <w:rPr>
                <w:color w:val="auto"/>
                <w:sz w:val="24"/>
              </w:rPr>
              <w:t>发</w:t>
            </w:r>
            <w:r>
              <w:rPr>
                <w:rFonts w:hint="eastAsia"/>
                <w:color w:val="auto"/>
                <w:sz w:val="24"/>
              </w:rPr>
              <w:t>〔202</w:t>
            </w:r>
            <w:r>
              <w:rPr>
                <w:rFonts w:hint="eastAsia"/>
                <w:color w:val="auto"/>
                <w:sz w:val="24"/>
                <w:lang w:eastAsia="zh-CN"/>
              </w:rPr>
              <w:t>3</w:t>
            </w:r>
            <w:r>
              <w:rPr>
                <w:rFonts w:hint="eastAsia"/>
                <w:color w:val="auto"/>
                <w:sz w:val="24"/>
              </w:rPr>
              <w:t>〕</w:t>
            </w:r>
            <w:r>
              <w:rPr>
                <w:rFonts w:hint="eastAsia"/>
                <w:color w:val="auto"/>
                <w:sz w:val="24"/>
                <w:lang w:eastAsia="zh-CN"/>
              </w:rPr>
              <w:t>64</w:t>
            </w:r>
            <w:r>
              <w:rPr>
                <w:rFonts w:hint="eastAsia"/>
                <w:color w:val="auto"/>
                <w:sz w:val="24"/>
              </w:rPr>
              <w:t>号</w:t>
            </w:r>
          </w:p>
        </w:tc>
      </w:tr>
      <w:tr w14:paraId="37049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2C257309">
            <w:pPr>
              <w:pStyle w:val="28"/>
              <w:rPr>
                <w:rFonts w:ascii="黑体" w:hAnsi="黑体" w:eastAsia="黑体"/>
                <w:color w:val="auto"/>
                <w:kern w:val="0"/>
                <w:sz w:val="24"/>
              </w:rPr>
            </w:pPr>
            <w:r>
              <w:rPr>
                <w:rFonts w:hint="eastAsia"/>
                <w:color w:val="auto"/>
                <w:sz w:val="24"/>
              </w:rPr>
              <w:t>总投资（万元）</w:t>
            </w:r>
          </w:p>
        </w:tc>
        <w:tc>
          <w:tcPr>
            <w:tcW w:w="2483" w:type="dxa"/>
            <w:vAlign w:val="center"/>
          </w:tcPr>
          <w:p w14:paraId="3F9457EE">
            <w:pPr>
              <w:pStyle w:val="28"/>
              <w:rPr>
                <w:rFonts w:hint="default" w:eastAsia="宋体"/>
                <w:color w:val="auto"/>
                <w:sz w:val="24"/>
                <w:lang w:val="en-US" w:eastAsia="zh-CN"/>
              </w:rPr>
            </w:pPr>
            <w:r>
              <w:rPr>
                <w:rFonts w:hint="eastAsia"/>
                <w:color w:val="auto"/>
                <w:sz w:val="24"/>
                <w:lang w:val="en-US" w:eastAsia="zh-CN"/>
              </w:rPr>
              <w:t>2344.08</w:t>
            </w:r>
          </w:p>
        </w:tc>
        <w:tc>
          <w:tcPr>
            <w:tcW w:w="1888" w:type="dxa"/>
            <w:vAlign w:val="center"/>
          </w:tcPr>
          <w:p w14:paraId="4BA9D108">
            <w:pPr>
              <w:pStyle w:val="28"/>
              <w:rPr>
                <w:rFonts w:ascii="宋体" w:hAnsi="宋体" w:cs="宋体"/>
                <w:color w:val="auto"/>
                <w:sz w:val="24"/>
              </w:rPr>
            </w:pPr>
            <w:r>
              <w:rPr>
                <w:rFonts w:hint="eastAsia" w:ascii="宋体" w:hAnsi="宋体" w:cs="宋体"/>
                <w:color w:val="auto"/>
                <w:sz w:val="24"/>
              </w:rPr>
              <w:t>环保投资</w:t>
            </w:r>
          </w:p>
          <w:p w14:paraId="7C638DA9">
            <w:pPr>
              <w:pStyle w:val="28"/>
              <w:rPr>
                <w:color w:val="auto"/>
                <w:sz w:val="24"/>
              </w:rPr>
            </w:pPr>
            <w:r>
              <w:rPr>
                <w:rFonts w:hint="eastAsia" w:ascii="宋体" w:hAnsi="宋体" w:cs="宋体"/>
                <w:color w:val="auto"/>
                <w:sz w:val="24"/>
              </w:rPr>
              <w:t>（万元）</w:t>
            </w:r>
          </w:p>
        </w:tc>
        <w:tc>
          <w:tcPr>
            <w:tcW w:w="3236" w:type="dxa"/>
            <w:vAlign w:val="center"/>
          </w:tcPr>
          <w:p w14:paraId="040A0FEB">
            <w:pPr>
              <w:pStyle w:val="28"/>
              <w:rPr>
                <w:rFonts w:hint="default" w:eastAsia="宋体"/>
                <w:color w:val="auto"/>
                <w:sz w:val="24"/>
                <w:lang w:val="en-US" w:eastAsia="zh-CN"/>
              </w:rPr>
            </w:pPr>
            <w:r>
              <w:rPr>
                <w:rFonts w:hint="eastAsia"/>
                <w:color w:val="auto"/>
                <w:sz w:val="24"/>
                <w:lang w:val="en-US" w:eastAsia="zh-CN"/>
              </w:rPr>
              <w:t>18.1</w:t>
            </w:r>
          </w:p>
        </w:tc>
      </w:tr>
      <w:tr w14:paraId="5DAAB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03D87536">
            <w:pPr>
              <w:pStyle w:val="28"/>
              <w:rPr>
                <w:rFonts w:ascii="黑体" w:hAnsi="黑体" w:eastAsia="黑体"/>
                <w:color w:val="auto"/>
                <w:kern w:val="0"/>
                <w:sz w:val="24"/>
              </w:rPr>
            </w:pPr>
            <w:r>
              <w:rPr>
                <w:rFonts w:hint="eastAsia"/>
                <w:color w:val="auto"/>
                <w:sz w:val="24"/>
              </w:rPr>
              <w:t>环保投资占比（</w:t>
            </w:r>
            <w:r>
              <w:rPr>
                <w:color w:val="auto"/>
                <w:sz w:val="24"/>
              </w:rPr>
              <w:t>%</w:t>
            </w:r>
            <w:r>
              <w:rPr>
                <w:rFonts w:hint="eastAsia"/>
                <w:color w:val="auto"/>
                <w:sz w:val="24"/>
              </w:rPr>
              <w:t>）</w:t>
            </w:r>
          </w:p>
        </w:tc>
        <w:tc>
          <w:tcPr>
            <w:tcW w:w="2483" w:type="dxa"/>
            <w:vAlign w:val="center"/>
          </w:tcPr>
          <w:p w14:paraId="61D4C0D4">
            <w:pPr>
              <w:pStyle w:val="28"/>
              <w:spacing w:line="360" w:lineRule="auto"/>
              <w:rPr>
                <w:rFonts w:hint="default" w:eastAsia="宋体"/>
                <w:color w:val="auto"/>
                <w:sz w:val="24"/>
                <w:lang w:val="en-US" w:eastAsia="zh-CN"/>
              </w:rPr>
            </w:pPr>
            <w:r>
              <w:rPr>
                <w:rFonts w:hint="eastAsia"/>
                <w:color w:val="auto"/>
                <w:sz w:val="24"/>
                <w:lang w:val="en-US" w:eastAsia="zh-CN"/>
              </w:rPr>
              <w:t>0.77</w:t>
            </w:r>
          </w:p>
        </w:tc>
        <w:tc>
          <w:tcPr>
            <w:tcW w:w="1888" w:type="dxa"/>
            <w:vAlign w:val="center"/>
          </w:tcPr>
          <w:p w14:paraId="34C8D720">
            <w:pPr>
              <w:pStyle w:val="28"/>
              <w:rPr>
                <w:color w:val="auto"/>
                <w:sz w:val="24"/>
              </w:rPr>
            </w:pPr>
            <w:r>
              <w:rPr>
                <w:rFonts w:hint="eastAsia" w:ascii="宋体" w:hAnsi="宋体" w:cs="宋体"/>
                <w:color w:val="auto"/>
                <w:sz w:val="24"/>
              </w:rPr>
              <w:t>施工工期</w:t>
            </w:r>
          </w:p>
        </w:tc>
        <w:tc>
          <w:tcPr>
            <w:tcW w:w="3236" w:type="dxa"/>
            <w:vAlign w:val="center"/>
          </w:tcPr>
          <w:p w14:paraId="0254EFED">
            <w:pPr>
              <w:pStyle w:val="28"/>
              <w:rPr>
                <w:color w:val="auto"/>
                <w:sz w:val="24"/>
              </w:rPr>
            </w:pPr>
            <w:r>
              <w:rPr>
                <w:rFonts w:hint="eastAsia"/>
                <w:color w:val="auto"/>
                <w:sz w:val="24"/>
                <w:lang w:val="en-US" w:eastAsia="zh-CN"/>
              </w:rPr>
              <w:t>8</w:t>
            </w:r>
            <w:r>
              <w:rPr>
                <w:rFonts w:hint="eastAsia"/>
                <w:color w:val="auto"/>
                <w:sz w:val="24"/>
              </w:rPr>
              <w:t>个月</w:t>
            </w:r>
          </w:p>
        </w:tc>
      </w:tr>
      <w:tr w14:paraId="546CDC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7A944B44">
            <w:pPr>
              <w:pStyle w:val="28"/>
              <w:rPr>
                <w:rFonts w:ascii="黑体" w:hAnsi="黑体" w:eastAsia="黑体"/>
                <w:color w:val="auto"/>
                <w:kern w:val="0"/>
                <w:sz w:val="24"/>
              </w:rPr>
            </w:pPr>
            <w:r>
              <w:rPr>
                <w:rFonts w:hint="eastAsia"/>
                <w:color w:val="auto"/>
                <w:sz w:val="24"/>
              </w:rPr>
              <w:t>是否开工建设</w:t>
            </w:r>
          </w:p>
        </w:tc>
        <w:tc>
          <w:tcPr>
            <w:tcW w:w="7607" w:type="dxa"/>
            <w:gridSpan w:val="3"/>
            <w:vAlign w:val="center"/>
          </w:tcPr>
          <w:p w14:paraId="070C7A95">
            <w:pPr>
              <w:pStyle w:val="28"/>
              <w:jc w:val="both"/>
              <w:rPr>
                <w:color w:val="auto"/>
                <w:sz w:val="24"/>
              </w:rPr>
            </w:pPr>
            <w:r>
              <w:rPr>
                <w:rFonts w:ascii="Wingdings 2" w:hAnsi="Wingdings 2"/>
                <w:color w:val="auto"/>
                <w:sz w:val="24"/>
              </w:rPr>
              <w:sym w:font="Wingdings 2" w:char="0052"/>
            </w:r>
            <w:r>
              <w:rPr>
                <w:rFonts w:hint="eastAsia"/>
                <w:color w:val="auto"/>
                <w:sz w:val="24"/>
              </w:rPr>
              <w:t>否</w:t>
            </w:r>
          </w:p>
          <w:p w14:paraId="02B56D28">
            <w:pPr>
              <w:pStyle w:val="28"/>
              <w:jc w:val="both"/>
              <w:rPr>
                <w:rFonts w:hint="eastAsia" w:eastAsia="宋体"/>
                <w:color w:val="auto"/>
                <w:sz w:val="24"/>
                <w:lang w:eastAsia="zh-CN"/>
              </w:rPr>
            </w:pPr>
            <w:r>
              <w:rPr>
                <w:rFonts w:hint="eastAsia"/>
                <w:color w:val="auto"/>
                <w:sz w:val="24"/>
                <w:lang w:eastAsia="zh-CN"/>
              </w:rPr>
              <w:t>□</w:t>
            </w:r>
            <w:r>
              <w:rPr>
                <w:rFonts w:hint="eastAsia"/>
                <w:color w:val="auto"/>
                <w:sz w:val="24"/>
              </w:rPr>
              <w:t>是：</w:t>
            </w:r>
          </w:p>
        </w:tc>
      </w:tr>
      <w:tr w14:paraId="2A9102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326F3E1B">
            <w:pPr>
              <w:pStyle w:val="28"/>
              <w:jc w:val="center"/>
              <w:rPr>
                <w:color w:val="auto"/>
                <w:kern w:val="0"/>
                <w:sz w:val="24"/>
              </w:rPr>
            </w:pPr>
            <w:r>
              <w:rPr>
                <w:rFonts w:hint="eastAsia"/>
                <w:color w:val="auto"/>
                <w:kern w:val="0"/>
                <w:sz w:val="24"/>
              </w:rPr>
              <w:t>专项评价</w:t>
            </w:r>
          </w:p>
          <w:p w14:paraId="6463AFCD">
            <w:pPr>
              <w:pStyle w:val="28"/>
              <w:jc w:val="center"/>
              <w:rPr>
                <w:rFonts w:ascii="黑体" w:hAnsi="黑体" w:eastAsia="黑体"/>
                <w:color w:val="auto"/>
                <w:kern w:val="0"/>
                <w:sz w:val="24"/>
              </w:rPr>
            </w:pPr>
            <w:r>
              <w:rPr>
                <w:rFonts w:hint="eastAsia"/>
                <w:color w:val="auto"/>
                <w:kern w:val="0"/>
                <w:sz w:val="24"/>
              </w:rPr>
              <w:t>设置情况</w:t>
            </w:r>
          </w:p>
        </w:tc>
        <w:tc>
          <w:tcPr>
            <w:tcW w:w="7607" w:type="dxa"/>
            <w:gridSpan w:val="3"/>
            <w:vAlign w:val="center"/>
          </w:tcPr>
          <w:p w14:paraId="3CDB4B18">
            <w:pPr>
              <w:pStyle w:val="37"/>
              <w:ind w:firstLine="480"/>
              <w:jc w:val="center"/>
              <w:rPr>
                <w:rFonts w:hint="eastAsia" w:eastAsia="宋体"/>
                <w:color w:val="auto"/>
                <w:lang w:val="en-US" w:eastAsia="zh-CN"/>
              </w:rPr>
            </w:pPr>
            <w:r>
              <w:rPr>
                <w:rFonts w:hint="eastAsia" w:ascii="宋体" w:hAnsi="宋体" w:cs="宋体"/>
                <w:color w:val="auto"/>
                <w:kern w:val="0"/>
                <w:szCs w:val="21"/>
              </w:rPr>
              <w:t>本项目涉及</w:t>
            </w:r>
            <w:r>
              <w:rPr>
                <w:rFonts w:hint="eastAsia" w:ascii="宋体" w:hAnsi="宋体" w:cs="宋体"/>
                <w:color w:val="auto"/>
                <w:kern w:val="0"/>
                <w:szCs w:val="21"/>
                <w:lang w:val="en-US" w:eastAsia="zh-CN"/>
              </w:rPr>
              <w:t>陕西省水土流失预防区，</w:t>
            </w:r>
            <w:r>
              <w:rPr>
                <w:rFonts w:hint="eastAsia" w:ascii="宋体" w:hAnsi="宋体" w:cs="宋体"/>
                <w:color w:val="auto"/>
                <w:kern w:val="0"/>
                <w:szCs w:val="21"/>
              </w:rPr>
              <w:t>设置生态专题评价</w:t>
            </w:r>
            <w:r>
              <w:rPr>
                <w:rFonts w:hint="eastAsia" w:ascii="宋体" w:hAnsi="宋体" w:cs="宋体"/>
                <w:color w:val="auto"/>
                <w:kern w:val="0"/>
                <w:szCs w:val="21"/>
                <w:lang w:eastAsia="zh-CN"/>
              </w:rPr>
              <w:t>。</w:t>
            </w:r>
          </w:p>
        </w:tc>
      </w:tr>
      <w:tr w14:paraId="6CE73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0822282B">
            <w:pPr>
              <w:pStyle w:val="28"/>
              <w:jc w:val="center"/>
              <w:rPr>
                <w:rFonts w:ascii="黑体" w:hAnsi="黑体" w:eastAsia="黑体"/>
                <w:color w:val="auto"/>
                <w:kern w:val="0"/>
                <w:sz w:val="24"/>
              </w:rPr>
            </w:pPr>
            <w:r>
              <w:rPr>
                <w:rFonts w:hint="eastAsia"/>
                <w:color w:val="auto"/>
                <w:sz w:val="24"/>
              </w:rPr>
              <w:t>规划情况</w:t>
            </w:r>
          </w:p>
        </w:tc>
        <w:tc>
          <w:tcPr>
            <w:tcW w:w="7607" w:type="dxa"/>
            <w:gridSpan w:val="3"/>
            <w:vAlign w:val="center"/>
          </w:tcPr>
          <w:p w14:paraId="0A7C3649">
            <w:pPr>
              <w:pStyle w:val="37"/>
              <w:numPr>
                <w:ilvl w:val="0"/>
                <w:numId w:val="0"/>
              </w:numPr>
              <w:jc w:val="center"/>
              <w:rPr>
                <w:color w:val="auto"/>
              </w:rPr>
            </w:pPr>
            <w:r>
              <w:rPr>
                <w:rFonts w:hint="eastAsia"/>
                <w:color w:val="auto"/>
              </w:rPr>
              <w:t>《陕西省“十四五”水利发展规划》，陕西省水利厅，2</w:t>
            </w:r>
            <w:r>
              <w:rPr>
                <w:color w:val="auto"/>
              </w:rPr>
              <w:t>021</w:t>
            </w:r>
            <w:r>
              <w:rPr>
                <w:rFonts w:hint="eastAsia"/>
                <w:color w:val="auto"/>
              </w:rPr>
              <w:t>年</w:t>
            </w:r>
            <w:r>
              <w:rPr>
                <w:color w:val="auto"/>
              </w:rPr>
              <w:t>9</w:t>
            </w:r>
            <w:r>
              <w:rPr>
                <w:rFonts w:hint="eastAsia"/>
                <w:color w:val="auto"/>
              </w:rPr>
              <w:t>月</w:t>
            </w:r>
          </w:p>
        </w:tc>
      </w:tr>
      <w:tr w14:paraId="6953B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76F77CDA">
            <w:pPr>
              <w:pStyle w:val="28"/>
              <w:jc w:val="center"/>
              <w:rPr>
                <w:rFonts w:ascii="黑体" w:hAnsi="黑体" w:eastAsia="黑体"/>
                <w:color w:val="auto"/>
                <w:kern w:val="0"/>
                <w:sz w:val="24"/>
              </w:rPr>
            </w:pPr>
            <w:r>
              <w:rPr>
                <w:rFonts w:hint="eastAsia"/>
                <w:color w:val="auto"/>
                <w:sz w:val="24"/>
              </w:rPr>
              <w:t>规划环境影响评价情况</w:t>
            </w:r>
          </w:p>
        </w:tc>
        <w:tc>
          <w:tcPr>
            <w:tcW w:w="7607" w:type="dxa"/>
            <w:gridSpan w:val="3"/>
            <w:vAlign w:val="center"/>
          </w:tcPr>
          <w:p w14:paraId="08ACA483">
            <w:pPr>
              <w:pStyle w:val="28"/>
              <w:ind w:firstLine="480" w:firstLineChars="200"/>
              <w:jc w:val="center"/>
              <w:rPr>
                <w:color w:val="auto"/>
                <w:sz w:val="24"/>
              </w:rPr>
            </w:pPr>
            <w:r>
              <w:rPr>
                <w:rFonts w:hint="eastAsia"/>
                <w:color w:val="auto"/>
                <w:sz w:val="24"/>
              </w:rPr>
              <w:t>无</w:t>
            </w:r>
          </w:p>
        </w:tc>
      </w:tr>
      <w:tr w14:paraId="67C31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300C83CE">
            <w:pPr>
              <w:pStyle w:val="28"/>
              <w:jc w:val="center"/>
              <w:rPr>
                <w:rFonts w:ascii="黑体" w:hAnsi="黑体" w:eastAsia="黑体"/>
                <w:color w:val="auto"/>
                <w:kern w:val="0"/>
                <w:sz w:val="24"/>
              </w:rPr>
            </w:pPr>
            <w:r>
              <w:rPr>
                <w:rFonts w:hint="eastAsia"/>
                <w:color w:val="auto"/>
                <w:kern w:val="0"/>
                <w:sz w:val="24"/>
              </w:rPr>
              <w:t>规划及</w:t>
            </w:r>
            <w:r>
              <w:rPr>
                <w:rFonts w:hint="eastAsia"/>
                <w:color w:val="auto"/>
                <w:sz w:val="24"/>
              </w:rPr>
              <w:t>规划环境影响评价</w:t>
            </w:r>
            <w:r>
              <w:rPr>
                <w:rFonts w:hint="eastAsia"/>
                <w:color w:val="auto"/>
                <w:kern w:val="0"/>
                <w:sz w:val="24"/>
              </w:rPr>
              <w:t>符合性分析</w:t>
            </w:r>
          </w:p>
        </w:tc>
        <w:tc>
          <w:tcPr>
            <w:tcW w:w="7607" w:type="dxa"/>
            <w:gridSpan w:val="3"/>
            <w:vAlign w:val="center"/>
          </w:tcPr>
          <w:p w14:paraId="758A4388">
            <w:pPr>
              <w:pStyle w:val="37"/>
              <w:ind w:firstLine="480"/>
              <w:jc w:val="left"/>
              <w:rPr>
                <w:color w:val="auto"/>
              </w:rPr>
            </w:pPr>
            <w:r>
              <w:rPr>
                <w:color w:val="auto"/>
              </w:rPr>
              <w:t>1</w:t>
            </w:r>
            <w:r>
              <w:rPr>
                <w:rFonts w:hint="eastAsia"/>
                <w:color w:val="auto"/>
              </w:rPr>
              <w:t>、《陕西省“十四五”水利发展规划》中提出：“完善河流及城市防洪体系。基本建成东庄水利枢纽……加快黄河干流禹门口至潼关段综合治理，推进渭河、汉江、无定河、延河等主要支流以及中小河流防洪治理。”</w:t>
            </w:r>
          </w:p>
          <w:p w14:paraId="53B0B3BD">
            <w:pPr>
              <w:pStyle w:val="37"/>
              <w:ind w:firstLine="480"/>
              <w:jc w:val="left"/>
              <w:rPr>
                <w:color w:val="auto"/>
              </w:rPr>
            </w:pPr>
            <w:r>
              <w:rPr>
                <w:rFonts w:hint="eastAsia"/>
                <w:color w:val="auto"/>
              </w:rPr>
              <w:t>本项目为</w:t>
            </w:r>
            <w:r>
              <w:rPr>
                <w:rFonts w:hint="eastAsia"/>
                <w:color w:val="auto"/>
                <w:lang w:val="en-US" w:eastAsia="zh-CN"/>
              </w:rPr>
              <w:t>湑水河</w:t>
            </w:r>
            <w:r>
              <w:rPr>
                <w:rFonts w:hint="eastAsia"/>
                <w:color w:val="auto"/>
              </w:rPr>
              <w:t>防洪治理工程，</w:t>
            </w:r>
            <w:r>
              <w:rPr>
                <w:color w:val="auto"/>
              </w:rPr>
              <w:t>是中国长江流域汉水的一条支流，</w:t>
            </w:r>
            <w:r>
              <w:rPr>
                <w:rFonts w:hint="eastAsia"/>
                <w:color w:val="auto"/>
              </w:rPr>
              <w:t>项目属于陕西省中小河流治理项目，项目建设符合《陕西省“十四五”水利发展规划》相关要求。</w:t>
            </w:r>
          </w:p>
        </w:tc>
      </w:tr>
      <w:tr w14:paraId="120E7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427" w:type="dxa"/>
            <w:vAlign w:val="center"/>
          </w:tcPr>
          <w:p w14:paraId="16F0F5FA">
            <w:pPr>
              <w:pStyle w:val="28"/>
              <w:rPr>
                <w:rFonts w:ascii="黑体" w:hAnsi="黑体" w:eastAsia="黑体"/>
                <w:color w:val="auto"/>
                <w:kern w:val="0"/>
                <w:sz w:val="24"/>
              </w:rPr>
            </w:pPr>
            <w:bookmarkStart w:id="1" w:name="_Hlk56690880"/>
            <w:r>
              <w:rPr>
                <w:rFonts w:hint="eastAsia"/>
                <w:color w:val="auto"/>
                <w:kern w:val="0"/>
                <w:sz w:val="24"/>
              </w:rPr>
              <w:t>其他符合性分析</w:t>
            </w:r>
            <w:bookmarkEnd w:id="1"/>
          </w:p>
        </w:tc>
        <w:tc>
          <w:tcPr>
            <w:tcW w:w="7607" w:type="dxa"/>
            <w:gridSpan w:val="3"/>
            <w:vAlign w:val="center"/>
          </w:tcPr>
          <w:p w14:paraId="1AE9706A">
            <w:pPr>
              <w:pStyle w:val="37"/>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bCs/>
                <w:color w:val="auto"/>
              </w:rPr>
            </w:pPr>
            <w:r>
              <w:rPr>
                <w:rFonts w:hint="eastAsia"/>
                <w:b/>
                <w:bCs/>
                <w:color w:val="auto"/>
              </w:rPr>
              <w:t>1、项目与产业政策符合性分析</w:t>
            </w:r>
          </w:p>
          <w:p w14:paraId="565EC0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根据《产业结构调整指导目录（2024年本）》，对本项目产业政策相符性进行分析，</w:t>
            </w:r>
            <w:r>
              <w:rPr>
                <w:rFonts w:hint="default" w:ascii="Times New Roman" w:hAnsi="Times New Roman" w:eastAsia="宋体" w:cs="Times New Roman"/>
                <w:color w:val="auto"/>
                <w:kern w:val="2"/>
                <w:sz w:val="24"/>
                <w:szCs w:val="24"/>
                <w:lang w:val="en-US" w:eastAsia="zh-CN" w:bidi="ar"/>
              </w:rPr>
              <w:t>本项目属于“鼓励类”第二条水利-3、3．防洪提升工程：病险水库、水闸除险加固工程，城市积涝预警和防洪工程，水利工程用土工合成材料及新型材料开发制造，水利工程用高性能混凝土复合管道的开发与制造，山洪地质灾害防治工程（山洪地质灾害防治区监测预报预警体系建设及山洪沟、泥石流沟和滑坡治理等），江河湖海堤防建设及河道治理工程，蓄滞洪区建设，江河湖库清淤疏浚工程，堤防隐患排查与修复，出海口门整治工程。因此，本项目的建设符合国家现行产业政策要求。</w:t>
            </w:r>
          </w:p>
          <w:p w14:paraId="38C0563C">
            <w:pPr>
              <w:keepNext w:val="0"/>
              <w:keepLines w:val="0"/>
              <w:pageBreakBefore w:val="0"/>
              <w:widowControl w:val="0"/>
              <w:kinsoku/>
              <w:wordWrap/>
              <w:overflowPunct/>
              <w:topLinePunct w:val="0"/>
              <w:autoSpaceDE/>
              <w:autoSpaceDN/>
              <w:bidi w:val="0"/>
              <w:adjustRightInd/>
              <w:snapToGrid/>
              <w:spacing w:line="360" w:lineRule="auto"/>
              <w:ind w:firstLine="48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另外，</w:t>
            </w:r>
            <w:r>
              <w:rPr>
                <w:rFonts w:hint="eastAsia" w:ascii="Times New Roman" w:hAnsi="Times New Roman" w:eastAsia="宋体" w:cs="Times New Roman"/>
                <w:color w:val="auto"/>
                <w:kern w:val="2"/>
                <w:sz w:val="24"/>
                <w:szCs w:val="24"/>
                <w:lang w:val="en-US" w:eastAsia="zh-CN" w:bidi="ar"/>
              </w:rPr>
              <w:t>本项目</w:t>
            </w:r>
            <w:r>
              <w:rPr>
                <w:rFonts w:hint="default" w:ascii="Times New Roman" w:hAnsi="Times New Roman" w:eastAsia="宋体" w:cs="Times New Roman"/>
                <w:color w:val="auto"/>
                <w:kern w:val="2"/>
                <w:sz w:val="24"/>
                <w:szCs w:val="24"/>
                <w:lang w:val="en-US" w:eastAsia="zh-CN" w:bidi="ar"/>
              </w:rPr>
              <w:t>已取得</w:t>
            </w:r>
            <w:r>
              <w:rPr>
                <w:rFonts w:hint="eastAsia" w:ascii="Times New Roman" w:hAnsi="Times New Roman" w:eastAsia="宋体" w:cs="Times New Roman"/>
                <w:color w:val="auto"/>
                <w:kern w:val="2"/>
                <w:sz w:val="24"/>
                <w:szCs w:val="24"/>
                <w:lang w:val="en-US" w:eastAsia="zh-CN" w:bidi="ar"/>
              </w:rPr>
              <w:t>周至县水务局</w:t>
            </w:r>
            <w:r>
              <w:rPr>
                <w:rFonts w:hint="default" w:ascii="Times New Roman" w:hAnsi="Times New Roman" w:eastAsia="宋体" w:cs="Times New Roman"/>
                <w:color w:val="auto"/>
                <w:kern w:val="2"/>
                <w:sz w:val="24"/>
                <w:szCs w:val="24"/>
                <w:lang w:val="en-US" w:eastAsia="zh-CN" w:bidi="ar"/>
              </w:rPr>
              <w:t>关于陕西省中小河流治理项目周至县</w:t>
            </w:r>
            <w:r>
              <w:rPr>
                <w:rFonts w:hint="eastAsia"/>
                <w:color w:val="auto"/>
                <w:sz w:val="24"/>
                <w:lang w:eastAsia="zh-CN"/>
              </w:rPr>
              <w:t>湑</w:t>
            </w:r>
            <w:r>
              <w:rPr>
                <w:rFonts w:hint="default" w:ascii="Times New Roman" w:hAnsi="Times New Roman" w:eastAsia="宋体" w:cs="Times New Roman"/>
                <w:color w:val="auto"/>
                <w:kern w:val="2"/>
                <w:sz w:val="24"/>
                <w:szCs w:val="24"/>
                <w:lang w:val="en-US" w:eastAsia="zh-CN" w:bidi="ar"/>
              </w:rPr>
              <w:t>水河老县城村段防洪治理工程初步设计报告的批复</w:t>
            </w:r>
            <w:r>
              <w:rPr>
                <w:rFonts w:hint="eastAsia" w:ascii="Times New Roman" w:hAnsi="Times New Roman" w:eastAsia="宋体" w:cs="Times New Roman"/>
                <w:color w:val="auto"/>
                <w:kern w:val="2"/>
                <w:sz w:val="24"/>
                <w:szCs w:val="24"/>
                <w:lang w:val="en-US" w:eastAsia="zh-CN" w:bidi="ar"/>
              </w:rPr>
              <w:t>，周水发2023【64】号</w:t>
            </w:r>
            <w:r>
              <w:rPr>
                <w:rFonts w:hint="default" w:ascii="Times New Roman" w:hAnsi="Times New Roman" w:eastAsia="宋体" w:cs="Times New Roman"/>
                <w:color w:val="auto"/>
                <w:kern w:val="2"/>
                <w:sz w:val="24"/>
                <w:szCs w:val="24"/>
                <w:lang w:val="en-US" w:eastAsia="zh-CN" w:bidi="ar"/>
              </w:rPr>
              <w:t>）（详见附件）。</w:t>
            </w:r>
          </w:p>
          <w:p w14:paraId="6140A5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综上，项目符合国家和地方产业政策要求。</w:t>
            </w:r>
          </w:p>
          <w:p w14:paraId="70B750C7">
            <w:pPr>
              <w:pStyle w:val="37"/>
              <w:numPr>
                <w:ilvl w:val="0"/>
                <w:numId w:val="3"/>
              </w:numPr>
              <w:ind w:firstLine="482"/>
              <w:rPr>
                <w:rFonts w:hint="default" w:ascii="Times New Roman" w:hAnsi="Times New Roman" w:eastAsia="宋体" w:cs="Times New Roman"/>
                <w:color w:val="auto"/>
                <w:kern w:val="2"/>
                <w:sz w:val="24"/>
                <w:szCs w:val="24"/>
                <w:lang w:val="en-US" w:eastAsia="zh-CN" w:bidi="ar"/>
              </w:rPr>
            </w:pPr>
            <w:r>
              <w:rPr>
                <w:rFonts w:hint="eastAsia"/>
                <w:b/>
                <w:bCs/>
                <w:color w:val="auto"/>
              </w:rPr>
              <w:t>项目与“三线一单”符合性分析</w:t>
            </w:r>
          </w:p>
          <w:p w14:paraId="3008BFF9">
            <w:pPr>
              <w:keepNext w:val="0"/>
              <w:keepLines w:val="0"/>
              <w:pageBreakBefore w:val="0"/>
              <w:widowControl w:val="0"/>
              <w:kinsoku/>
              <w:wordWrap/>
              <w:overflowPunct/>
              <w:topLinePunct w:val="0"/>
              <w:bidi w:val="0"/>
              <w:adjustRightInd/>
              <w:snapToGrid/>
              <w:spacing w:line="480" w:lineRule="exact"/>
              <w:jc w:val="center"/>
              <w:textAlignment w:val="auto"/>
              <w:outlineLvl w:val="9"/>
              <w:rPr>
                <w:rFonts w:hint="default" w:ascii="Times New Roman" w:hAnsi="Times New Roman" w:eastAsia="宋体" w:cs="Times New Roman"/>
                <w:color w:val="auto"/>
                <w:kern w:val="2"/>
                <w:sz w:val="24"/>
                <w:szCs w:val="24"/>
                <w:lang w:val="en-US" w:eastAsia="zh-CN" w:bidi="ar"/>
              </w:rPr>
            </w:pPr>
            <w:r>
              <w:rPr>
                <w:rFonts w:hint="eastAsia" w:cs="Times New Roman"/>
                <w:color w:val="auto"/>
                <w:kern w:val="2"/>
                <w:sz w:val="24"/>
                <w:szCs w:val="24"/>
                <w:lang w:val="en-US" w:eastAsia="zh-CN" w:bidi="ar"/>
              </w:rPr>
              <w:t xml:space="preserve">表1   </w:t>
            </w:r>
            <w:r>
              <w:rPr>
                <w:rFonts w:hint="default" w:ascii="Times New Roman" w:hAnsi="Times New Roman" w:eastAsia="宋体" w:cs="Times New Roman"/>
                <w:b/>
                <w:color w:val="auto"/>
                <w:sz w:val="24"/>
                <w:szCs w:val="24"/>
                <w:lang w:eastAsia="zh-CN"/>
              </w:rPr>
              <w:t>项目与</w:t>
            </w:r>
            <w:r>
              <w:rPr>
                <w:rFonts w:hint="default" w:ascii="Times New Roman" w:hAnsi="Times New Roman" w:eastAsia="宋体" w:cs="Times New Roman"/>
                <w:b/>
                <w:color w:val="auto"/>
                <w:sz w:val="24"/>
                <w:szCs w:val="24"/>
              </w:rPr>
              <w:t>环境管控单元管控要求</w:t>
            </w:r>
            <w:r>
              <w:rPr>
                <w:rFonts w:hint="default" w:ascii="Times New Roman" w:hAnsi="Times New Roman" w:eastAsia="宋体" w:cs="Times New Roman"/>
                <w:b/>
                <w:color w:val="auto"/>
                <w:sz w:val="24"/>
                <w:szCs w:val="24"/>
                <w:lang w:eastAsia="zh-CN"/>
              </w:rPr>
              <w:t>符合性分析</w:t>
            </w:r>
          </w:p>
          <w:tbl>
            <w:tblPr>
              <w:tblStyle w:val="59"/>
              <w:tblpPr w:leftFromText="181" w:rightFromText="181" w:vertAnchor="text" w:horzAnchor="page" w:tblpXSpec="center" w:tblpY="1"/>
              <w:tblOverlap w:val="never"/>
              <w:tblW w:w="4996" w:type="pct"/>
              <w:jc w:val="center"/>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375"/>
              <w:gridCol w:w="327"/>
              <w:gridCol w:w="312"/>
              <w:gridCol w:w="297"/>
              <w:gridCol w:w="327"/>
              <w:gridCol w:w="312"/>
              <w:gridCol w:w="3368"/>
              <w:gridCol w:w="1674"/>
              <w:gridCol w:w="394"/>
            </w:tblGrid>
            <w:tr w14:paraId="2B5F11C7">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254" w:type="pct"/>
                  <w:vAlign w:val="center"/>
                </w:tcPr>
                <w:p w14:paraId="17AB74DF">
                  <w:pPr>
                    <w:pStyle w:val="28"/>
                    <w:jc w:val="center"/>
                    <w:rPr>
                      <w:rFonts w:hint="default" w:eastAsia="宋体"/>
                      <w:color w:val="auto"/>
                      <w:lang w:val="en-US" w:eastAsia="zh-CN"/>
                    </w:rPr>
                  </w:pPr>
                  <w:r>
                    <w:rPr>
                      <w:rFonts w:hint="default" w:eastAsia="宋体"/>
                      <w:color w:val="auto"/>
                      <w:lang w:val="en-US" w:eastAsia="zh-CN"/>
                    </w:rPr>
                    <w:t>序号</w:t>
                  </w:r>
                </w:p>
              </w:tc>
              <w:tc>
                <w:tcPr>
                  <w:tcW w:w="221" w:type="pct"/>
                  <w:vAlign w:val="center"/>
                </w:tcPr>
                <w:p w14:paraId="3D9BC316">
                  <w:pPr>
                    <w:pStyle w:val="28"/>
                    <w:jc w:val="center"/>
                    <w:rPr>
                      <w:rFonts w:hint="default" w:eastAsia="宋体"/>
                      <w:color w:val="auto"/>
                      <w:lang w:val="en-US" w:eastAsia="zh-CN"/>
                    </w:rPr>
                  </w:pPr>
                  <w:r>
                    <w:rPr>
                      <w:rFonts w:hint="default" w:eastAsia="宋体"/>
                      <w:color w:val="auto"/>
                      <w:lang w:val="en-US" w:eastAsia="zh-CN"/>
                    </w:rPr>
                    <w:t>环境管控单元名称</w:t>
                  </w:r>
                </w:p>
              </w:tc>
              <w:tc>
                <w:tcPr>
                  <w:tcW w:w="211" w:type="pct"/>
                  <w:vAlign w:val="center"/>
                </w:tcPr>
                <w:p w14:paraId="7D3A6D39">
                  <w:pPr>
                    <w:pStyle w:val="28"/>
                    <w:jc w:val="center"/>
                    <w:rPr>
                      <w:rFonts w:hint="default" w:eastAsia="宋体"/>
                      <w:color w:val="auto"/>
                      <w:lang w:val="en-US" w:eastAsia="zh-CN"/>
                    </w:rPr>
                  </w:pPr>
                  <w:r>
                    <w:rPr>
                      <w:rFonts w:hint="default" w:eastAsia="宋体"/>
                      <w:color w:val="auto"/>
                      <w:lang w:val="en-US" w:eastAsia="zh-CN"/>
                    </w:rPr>
                    <w:t>区县</w:t>
                  </w:r>
                </w:p>
              </w:tc>
              <w:tc>
                <w:tcPr>
                  <w:tcW w:w="201" w:type="pct"/>
                  <w:vAlign w:val="center"/>
                </w:tcPr>
                <w:p w14:paraId="61CDDCB2">
                  <w:pPr>
                    <w:pStyle w:val="28"/>
                    <w:jc w:val="center"/>
                    <w:rPr>
                      <w:rFonts w:hint="default" w:eastAsia="宋体"/>
                      <w:color w:val="auto"/>
                      <w:lang w:val="en-US" w:eastAsia="zh-CN"/>
                    </w:rPr>
                  </w:pPr>
                  <w:r>
                    <w:rPr>
                      <w:rFonts w:hint="default" w:eastAsia="宋体"/>
                      <w:color w:val="auto"/>
                      <w:lang w:val="en-US" w:eastAsia="zh-CN"/>
                    </w:rPr>
                    <w:t>市（区）</w:t>
                  </w:r>
                </w:p>
              </w:tc>
              <w:tc>
                <w:tcPr>
                  <w:tcW w:w="221" w:type="pct"/>
                  <w:vAlign w:val="center"/>
                </w:tcPr>
                <w:p w14:paraId="3E4EEAE9">
                  <w:pPr>
                    <w:pStyle w:val="28"/>
                    <w:jc w:val="center"/>
                    <w:rPr>
                      <w:rFonts w:hint="default" w:eastAsia="宋体"/>
                      <w:color w:val="auto"/>
                      <w:lang w:val="en-US" w:eastAsia="zh-CN"/>
                    </w:rPr>
                  </w:pPr>
                  <w:r>
                    <w:rPr>
                      <w:rFonts w:hint="default" w:eastAsia="宋体"/>
                      <w:color w:val="auto"/>
                      <w:lang w:val="en-US" w:eastAsia="zh-CN"/>
                    </w:rPr>
                    <w:t>单元要</w:t>
                  </w:r>
                </w:p>
                <w:p w14:paraId="30E1B84B">
                  <w:pPr>
                    <w:pStyle w:val="28"/>
                    <w:jc w:val="center"/>
                    <w:rPr>
                      <w:rFonts w:hint="default" w:eastAsia="宋体"/>
                      <w:color w:val="auto"/>
                      <w:lang w:val="en-US" w:eastAsia="zh-CN"/>
                    </w:rPr>
                  </w:pPr>
                  <w:r>
                    <w:rPr>
                      <w:rFonts w:hint="default" w:eastAsia="宋体"/>
                      <w:color w:val="auto"/>
                      <w:lang w:val="en-US" w:eastAsia="zh-CN"/>
                    </w:rPr>
                    <w:t>素属性</w:t>
                  </w:r>
                </w:p>
              </w:tc>
              <w:tc>
                <w:tcPr>
                  <w:tcW w:w="211" w:type="pct"/>
                  <w:vAlign w:val="center"/>
                </w:tcPr>
                <w:p w14:paraId="37C7077F">
                  <w:pPr>
                    <w:pStyle w:val="28"/>
                    <w:jc w:val="center"/>
                    <w:rPr>
                      <w:rFonts w:hint="default" w:eastAsia="宋体"/>
                      <w:color w:val="auto"/>
                      <w:lang w:val="en-US" w:eastAsia="zh-CN"/>
                    </w:rPr>
                  </w:pPr>
                  <w:r>
                    <w:rPr>
                      <w:rFonts w:hint="default" w:eastAsia="宋体"/>
                      <w:color w:val="auto"/>
                      <w:lang w:val="en-US" w:eastAsia="zh-CN"/>
                    </w:rPr>
                    <w:t>管控要求分</w:t>
                  </w:r>
                </w:p>
                <w:p w14:paraId="7D3DB80F">
                  <w:pPr>
                    <w:pStyle w:val="28"/>
                    <w:jc w:val="center"/>
                    <w:rPr>
                      <w:rFonts w:hint="default" w:eastAsia="宋体"/>
                      <w:color w:val="auto"/>
                      <w:lang w:val="en-US" w:eastAsia="zh-CN"/>
                    </w:rPr>
                  </w:pPr>
                  <w:r>
                    <w:rPr>
                      <w:rFonts w:hint="default" w:eastAsia="宋体"/>
                      <w:color w:val="auto"/>
                      <w:lang w:val="en-US" w:eastAsia="zh-CN"/>
                    </w:rPr>
                    <w:t>类</w:t>
                  </w:r>
                </w:p>
              </w:tc>
              <w:tc>
                <w:tcPr>
                  <w:tcW w:w="2280" w:type="pct"/>
                  <w:vAlign w:val="center"/>
                </w:tcPr>
                <w:p w14:paraId="58E219BD">
                  <w:pPr>
                    <w:pStyle w:val="28"/>
                    <w:jc w:val="center"/>
                    <w:rPr>
                      <w:rFonts w:hint="default" w:eastAsia="宋体"/>
                      <w:color w:val="auto"/>
                      <w:lang w:val="en-US" w:eastAsia="zh-CN"/>
                    </w:rPr>
                  </w:pPr>
                  <w:r>
                    <w:rPr>
                      <w:rFonts w:hint="default" w:eastAsia="宋体"/>
                      <w:color w:val="auto"/>
                      <w:lang w:val="en-US" w:eastAsia="zh-CN"/>
                    </w:rPr>
                    <w:t>管控要求</w:t>
                  </w:r>
                </w:p>
              </w:tc>
              <w:tc>
                <w:tcPr>
                  <w:tcW w:w="1133" w:type="pct"/>
                  <w:vAlign w:val="center"/>
                </w:tcPr>
                <w:p w14:paraId="1A9E8CD7">
                  <w:pPr>
                    <w:pStyle w:val="28"/>
                    <w:jc w:val="center"/>
                    <w:rPr>
                      <w:rFonts w:hint="default" w:eastAsia="宋体"/>
                      <w:color w:val="auto"/>
                      <w:lang w:val="en-US" w:eastAsia="zh-CN"/>
                    </w:rPr>
                  </w:pPr>
                  <w:r>
                    <w:rPr>
                      <w:rFonts w:hint="eastAsia" w:eastAsia="宋体"/>
                      <w:color w:val="auto"/>
                      <w:lang w:val="en-US" w:eastAsia="zh-CN"/>
                    </w:rPr>
                    <w:t>本项目情况</w:t>
                  </w:r>
                </w:p>
              </w:tc>
              <w:tc>
                <w:tcPr>
                  <w:tcW w:w="266" w:type="pct"/>
                  <w:vAlign w:val="center"/>
                </w:tcPr>
                <w:p w14:paraId="0427C645">
                  <w:pPr>
                    <w:pStyle w:val="28"/>
                    <w:jc w:val="center"/>
                    <w:rPr>
                      <w:rFonts w:hint="default" w:eastAsia="宋体"/>
                      <w:color w:val="auto"/>
                      <w:lang w:val="en-US" w:eastAsia="zh-CN"/>
                    </w:rPr>
                  </w:pPr>
                  <w:r>
                    <w:rPr>
                      <w:rFonts w:hint="eastAsia" w:eastAsia="宋体"/>
                      <w:color w:val="auto"/>
                      <w:lang w:val="en-US" w:eastAsia="zh-CN"/>
                    </w:rPr>
                    <w:t>符合性分析</w:t>
                  </w:r>
                </w:p>
              </w:tc>
            </w:tr>
            <w:tr w14:paraId="207EC527">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PrEx>
              <w:trPr>
                <w:trHeight w:val="1876" w:hRule="atLeast"/>
                <w:jc w:val="center"/>
              </w:trPr>
              <w:tc>
                <w:tcPr>
                  <w:tcW w:w="254" w:type="pct"/>
                  <w:vAlign w:val="center"/>
                </w:tcPr>
                <w:p w14:paraId="1BB6CBDC">
                  <w:pPr>
                    <w:pStyle w:val="28"/>
                    <w:jc w:val="center"/>
                    <w:rPr>
                      <w:rFonts w:hint="eastAsia" w:eastAsia="宋体"/>
                      <w:color w:val="auto"/>
                      <w:lang w:val="en-US" w:eastAsia="zh-CN"/>
                    </w:rPr>
                  </w:pPr>
                  <w:r>
                    <w:rPr>
                      <w:rFonts w:hint="eastAsia" w:eastAsia="宋体"/>
                      <w:color w:val="auto"/>
                      <w:lang w:val="en-US" w:eastAsia="zh-CN"/>
                    </w:rPr>
                    <w:t>1</w:t>
                  </w:r>
                </w:p>
              </w:tc>
              <w:tc>
                <w:tcPr>
                  <w:tcW w:w="221" w:type="pct"/>
                  <w:vAlign w:val="center"/>
                </w:tcPr>
                <w:p w14:paraId="5607729C">
                  <w:pPr>
                    <w:pStyle w:val="28"/>
                    <w:jc w:val="center"/>
                    <w:rPr>
                      <w:rFonts w:hint="default" w:eastAsia="宋体"/>
                      <w:color w:val="auto"/>
                      <w:lang w:val="en-US" w:eastAsia="zh-CN"/>
                    </w:rPr>
                  </w:pPr>
                </w:p>
                <w:p w14:paraId="09A60EED">
                  <w:pPr>
                    <w:pStyle w:val="28"/>
                    <w:jc w:val="center"/>
                    <w:rPr>
                      <w:rFonts w:hint="default" w:eastAsia="宋体"/>
                      <w:color w:val="auto"/>
                      <w:lang w:val="en-US" w:eastAsia="zh-CN"/>
                    </w:rPr>
                  </w:pPr>
                  <w:r>
                    <w:rPr>
                      <w:rFonts w:hint="default" w:eastAsia="宋体"/>
                      <w:color w:val="auto"/>
                      <w:lang w:val="en-US" w:eastAsia="zh-CN"/>
                    </w:rPr>
                    <w:t>陕西秦岭国家级自然保护区（周至县）</w:t>
                  </w:r>
                </w:p>
              </w:tc>
              <w:tc>
                <w:tcPr>
                  <w:tcW w:w="211" w:type="pct"/>
                  <w:vAlign w:val="center"/>
                </w:tcPr>
                <w:p w14:paraId="685FA3F7">
                  <w:pPr>
                    <w:pStyle w:val="28"/>
                    <w:jc w:val="center"/>
                    <w:rPr>
                      <w:rFonts w:hint="default" w:eastAsia="宋体"/>
                      <w:color w:val="auto"/>
                      <w:lang w:val="en-US" w:eastAsia="zh-CN"/>
                    </w:rPr>
                  </w:pPr>
                </w:p>
                <w:p w14:paraId="68E814B8">
                  <w:pPr>
                    <w:pStyle w:val="28"/>
                    <w:jc w:val="center"/>
                    <w:rPr>
                      <w:rFonts w:hint="default" w:eastAsia="宋体"/>
                      <w:color w:val="auto"/>
                      <w:lang w:val="en-US" w:eastAsia="zh-CN"/>
                    </w:rPr>
                  </w:pPr>
                  <w:r>
                    <w:rPr>
                      <w:rFonts w:hint="default" w:eastAsia="宋体"/>
                      <w:color w:val="auto"/>
                      <w:lang w:val="en-US" w:eastAsia="zh-CN"/>
                    </w:rPr>
                    <w:t>西安市</w:t>
                  </w:r>
                </w:p>
              </w:tc>
              <w:tc>
                <w:tcPr>
                  <w:tcW w:w="201" w:type="pct"/>
                  <w:vAlign w:val="center"/>
                </w:tcPr>
                <w:p w14:paraId="0BF8CC1A">
                  <w:pPr>
                    <w:pStyle w:val="28"/>
                    <w:jc w:val="center"/>
                    <w:rPr>
                      <w:rFonts w:hint="default" w:eastAsia="宋体"/>
                      <w:color w:val="auto"/>
                      <w:lang w:val="en-US" w:eastAsia="zh-CN"/>
                    </w:rPr>
                  </w:pPr>
                </w:p>
                <w:p w14:paraId="261525AF">
                  <w:pPr>
                    <w:pStyle w:val="28"/>
                    <w:jc w:val="center"/>
                    <w:rPr>
                      <w:rFonts w:hint="default" w:eastAsia="宋体"/>
                      <w:color w:val="auto"/>
                      <w:lang w:val="en-US" w:eastAsia="zh-CN"/>
                    </w:rPr>
                  </w:pPr>
                  <w:r>
                    <w:rPr>
                      <w:rFonts w:hint="default" w:eastAsia="宋体"/>
                      <w:color w:val="auto"/>
                      <w:lang w:val="en-US" w:eastAsia="zh-CN"/>
                    </w:rPr>
                    <w:t>周至县</w:t>
                  </w:r>
                </w:p>
              </w:tc>
              <w:tc>
                <w:tcPr>
                  <w:tcW w:w="221" w:type="pct"/>
                  <w:vAlign w:val="center"/>
                </w:tcPr>
                <w:p w14:paraId="34BF68B2">
                  <w:pPr>
                    <w:pStyle w:val="28"/>
                    <w:jc w:val="center"/>
                    <w:rPr>
                      <w:rFonts w:hint="default" w:eastAsia="宋体"/>
                      <w:color w:val="auto"/>
                      <w:lang w:val="en-US" w:eastAsia="zh-CN"/>
                    </w:rPr>
                  </w:pPr>
                </w:p>
                <w:p w14:paraId="0094A7DF">
                  <w:pPr>
                    <w:pStyle w:val="28"/>
                    <w:jc w:val="center"/>
                    <w:rPr>
                      <w:rFonts w:hint="default" w:eastAsia="宋体"/>
                      <w:color w:val="auto"/>
                      <w:lang w:val="en-US" w:eastAsia="zh-CN"/>
                    </w:rPr>
                  </w:pPr>
                  <w:r>
                    <w:rPr>
                      <w:rFonts w:hint="default" w:eastAsia="宋体"/>
                      <w:color w:val="auto"/>
                      <w:lang w:val="en-US" w:eastAsia="zh-CN"/>
                    </w:rPr>
                    <w:t>饮用水水源保护区、自然保护区、生态保</w:t>
                  </w:r>
                  <w:r>
                    <w:rPr>
                      <w:rFonts w:hint="eastAsia" w:eastAsia="宋体"/>
                      <w:color w:val="auto"/>
                      <w:lang w:val="en-US" w:eastAsia="zh-CN"/>
                    </w:rPr>
                    <w:t>护</w:t>
                  </w:r>
                  <w:r>
                    <w:rPr>
                      <w:rFonts w:hint="default" w:eastAsia="宋体"/>
                      <w:color w:val="auto"/>
                      <w:lang w:val="en-US" w:eastAsia="zh-CN"/>
                    </w:rPr>
                    <w:t>红线、环境优先保护区、秦岭重点保护区</w:t>
                  </w:r>
                </w:p>
              </w:tc>
              <w:tc>
                <w:tcPr>
                  <w:tcW w:w="211" w:type="pct"/>
                  <w:vAlign w:val="center"/>
                </w:tcPr>
                <w:p w14:paraId="6178233A">
                  <w:pPr>
                    <w:pStyle w:val="28"/>
                    <w:jc w:val="center"/>
                    <w:rPr>
                      <w:rFonts w:hint="default" w:eastAsia="宋体"/>
                      <w:color w:val="auto"/>
                      <w:lang w:val="en-US" w:eastAsia="zh-CN"/>
                    </w:rPr>
                  </w:pPr>
                </w:p>
                <w:p w14:paraId="57311A2A">
                  <w:pPr>
                    <w:pStyle w:val="28"/>
                    <w:jc w:val="center"/>
                    <w:rPr>
                      <w:rFonts w:hint="default" w:eastAsia="宋体"/>
                      <w:color w:val="auto"/>
                      <w:lang w:val="en-US" w:eastAsia="zh-CN"/>
                    </w:rPr>
                  </w:pPr>
                  <w:r>
                    <w:rPr>
                      <w:rFonts w:hint="default" w:eastAsia="宋体"/>
                      <w:color w:val="auto"/>
                      <w:lang w:val="en-US" w:eastAsia="zh-CN"/>
                    </w:rPr>
                    <w:t>空间布局约束</w:t>
                  </w:r>
                </w:p>
              </w:tc>
              <w:tc>
                <w:tcPr>
                  <w:tcW w:w="2280" w:type="pct"/>
                  <w:vAlign w:val="top"/>
                </w:tcPr>
                <w:p w14:paraId="1171E497">
                  <w:pPr>
                    <w:pStyle w:val="28"/>
                    <w:jc w:val="both"/>
                    <w:rPr>
                      <w:rFonts w:hint="default" w:eastAsia="宋体"/>
                      <w:color w:val="auto"/>
                      <w:lang w:val="en-US" w:eastAsia="zh-CN"/>
                    </w:rPr>
                  </w:pPr>
                  <w:r>
                    <w:rPr>
                      <w:rFonts w:hint="default" w:eastAsia="宋体"/>
                      <w:color w:val="auto"/>
                      <w:lang w:val="en-US" w:eastAsia="zh-CN"/>
                    </w:rPr>
                    <w:t>饮用水水源保护区：</w:t>
                  </w:r>
                </w:p>
                <w:p w14:paraId="007D94CC">
                  <w:pPr>
                    <w:pStyle w:val="28"/>
                    <w:jc w:val="both"/>
                    <w:rPr>
                      <w:rFonts w:hint="default" w:eastAsia="宋体"/>
                      <w:color w:val="auto"/>
                      <w:lang w:val="en-US" w:eastAsia="zh-CN"/>
                    </w:rPr>
                  </w:pPr>
                  <w:r>
                    <w:rPr>
                      <w:rFonts w:hint="default" w:eastAsia="宋体"/>
                      <w:color w:val="auto"/>
                      <w:lang w:val="en-US" w:eastAsia="zh-CN"/>
                    </w:rPr>
                    <w:t>按照《中华人民共和国水法》《中华人民共和国水污染防治法》《陕西省饮用水水源保护条例》等相关规定进行管控。地表水饮用水水源保护区要求：</w:t>
                  </w:r>
                </w:p>
                <w:p w14:paraId="7490F867">
                  <w:pPr>
                    <w:pStyle w:val="28"/>
                    <w:numPr>
                      <w:ilvl w:val="0"/>
                      <w:numId w:val="4"/>
                    </w:numPr>
                    <w:jc w:val="both"/>
                    <w:rPr>
                      <w:rFonts w:hint="default" w:eastAsia="宋体"/>
                      <w:color w:val="auto"/>
                      <w:lang w:val="en-US" w:eastAsia="zh-CN"/>
                    </w:rPr>
                  </w:pPr>
                  <w:r>
                    <w:rPr>
                      <w:rFonts w:hint="default" w:eastAsia="宋体"/>
                      <w:color w:val="auto"/>
                      <w:lang w:val="en-US" w:eastAsia="zh-CN"/>
                    </w:rPr>
                    <w:t>准保护区内：禁止新建、扩建对水体污染严重的建设项目，改建增加排污量的建设项目；禁止设置化工原料、危险废物和易溶性、有毒有害废弃物的暂存及转运站；禁止向水体倾倒危险废物、工业固体废物、生活垃圾、建筑垃圾、粪便及其他废弃物；禁止使用剧毒、高残留农药以及滥用化肥；禁止使用炸药、毒药捕杀鱼类和其他生物；禁止非更新采伐、破坏水源涵养林以及破坏与水源保护相关的植被；其他可能污染、破坏饮用水水源生态环境的行为。</w:t>
                  </w:r>
                </w:p>
                <w:p w14:paraId="717F9155">
                  <w:pPr>
                    <w:pStyle w:val="28"/>
                    <w:numPr>
                      <w:ilvl w:val="0"/>
                      <w:numId w:val="0"/>
                    </w:numPr>
                    <w:jc w:val="both"/>
                    <w:rPr>
                      <w:rFonts w:hint="default" w:eastAsia="宋体"/>
                      <w:color w:val="auto"/>
                      <w:lang w:val="en-US" w:eastAsia="zh-CN"/>
                    </w:rPr>
                  </w:pPr>
                  <w:r>
                    <w:rPr>
                      <w:rFonts w:hint="default" w:eastAsia="宋体"/>
                      <w:color w:val="auto"/>
                      <w:lang w:val="en-US" w:eastAsia="zh-CN"/>
                    </w:rPr>
                    <w:t>2.二级保护区内：除第1条禁止的行为外，还禁止下列行为：禁止设置排污口；禁止新建、改建、扩建排放污染物的建设项目；禁止勘探、开采矿产资源，采砂；禁止堆放化工原料、危险化学品、矿物油类以及有毒有害矿产品；禁止设置畜禽养殖场、养殖小区；禁止新铺设输送有毒有害物品及石油、成品油的管道；禁止使用农药，丢弃农药、农药包装物或者清洗施药器械；禁止建造坟墓，丢弃或者掩埋动物尸体以及含病原体的其他废物；禁止使用不符合国家规定防污条件的运载工具，运载油类、粪便及其他有毒有害物品通过水源保护区。禁止运输危险化学品的船舶、车辆通过地表水饮用水水源保护区；对确需通过的危险化学品运输车辆，应当采取有效安全防护措施，依法报公安机关办理有关手续，并通知饮用水水源保护区管理机构。限制使用化肥；从事网箱养殖、旅游等活动的，应当按照规定采取措施，防止污染饮用水水体。已建成的排放污染物的建设项目，由县级以上人民政府责令拆除或者关闭；已有的输送石油、成品油的管道应当调整输油线路，逐步退出；对居民产生的生活污水和垃圾应当统一收集处置。</w:t>
                  </w:r>
                </w:p>
                <w:p w14:paraId="75D4AD2C">
                  <w:pPr>
                    <w:pStyle w:val="28"/>
                    <w:ind w:firstLine="210" w:firstLineChars="100"/>
                    <w:jc w:val="both"/>
                    <w:rPr>
                      <w:rFonts w:hint="default" w:eastAsia="宋体"/>
                      <w:color w:val="auto"/>
                      <w:lang w:val="en-US" w:eastAsia="zh-CN"/>
                    </w:rPr>
                  </w:pPr>
                  <w:r>
                    <w:rPr>
                      <w:rFonts w:hint="default" w:eastAsia="宋体"/>
                      <w:color w:val="auto"/>
                      <w:lang w:val="en-US" w:eastAsia="zh-CN"/>
                    </w:rPr>
                    <w:t>3.一级保护区内：除第1、2条禁止的行为外，还禁止下列行为：新建、改建、扩建与供水设施和保护水源无关的建设项目；堆放、倾倒生活垃圾等其他废弃物；停靠与保护水源无关的机动船舶；从事畜禽养殖、网箱养殖；使用化肥；从事旅游、游泳、垂钓或者其他污染饮用水水体的活动。已建成的与供水设施和保护水源无关的建设项目，由县级以上人民政府责令拆除或关闭。</w:t>
                  </w:r>
                </w:p>
                <w:p w14:paraId="43CDA343">
                  <w:pPr>
                    <w:pStyle w:val="28"/>
                    <w:jc w:val="both"/>
                    <w:rPr>
                      <w:rFonts w:hint="default" w:eastAsia="宋体"/>
                      <w:color w:val="auto"/>
                      <w:lang w:val="en-US" w:eastAsia="zh-CN"/>
                    </w:rPr>
                  </w:pPr>
                  <w:r>
                    <w:rPr>
                      <w:rFonts w:hint="default" w:eastAsia="宋体"/>
                      <w:color w:val="auto"/>
                      <w:lang w:val="en-US" w:eastAsia="zh-CN"/>
                    </w:rPr>
                    <w:t>地下水饮用水水源保护区要求：</w:t>
                  </w:r>
                </w:p>
                <w:p w14:paraId="0A5D0A42">
                  <w:pPr>
                    <w:pStyle w:val="28"/>
                    <w:jc w:val="both"/>
                    <w:rPr>
                      <w:rFonts w:hint="default" w:eastAsia="宋体"/>
                      <w:color w:val="auto"/>
                      <w:lang w:val="en-US" w:eastAsia="zh-CN"/>
                    </w:rPr>
                  </w:pPr>
                  <w:r>
                    <w:rPr>
                      <w:rFonts w:hint="default" w:eastAsia="宋体"/>
                      <w:color w:val="auto"/>
                      <w:lang w:val="en-US" w:eastAsia="zh-CN"/>
                    </w:rPr>
                    <w:t>1.准保护区内：禁止新建、扩建对水体污染严重的建设项目，改建增加排污量的建设项目；禁止利用渗坑、渗井、深井、裂隙、溶洞等排放污水和其他有害废弃物；禁止利用透水层孔隙、裂隙、溶洞及废弃矿坑储存石油、天然气、放射性物质、有毒有害化工原料、农药等；禁止利用无防渗漏措施的沟渠、坑塘等输送或者存贮含有毒污染物的废水、含病原体的污水和其他废物；禁止设置化工原料、危险废物和易溶性、有毒有害废弃物的暂存及转运站；禁止毁林开荒、非更新采伐水源涵养林；禁止使用剧毒、高残留农药以及滥用化肥；禁止使用不符合国家农田灌溉水质标准的污水灌溉农田；禁止其他可能污染、破坏饮用水水源生态环境的行为。</w:t>
                  </w:r>
                </w:p>
                <w:p w14:paraId="0A0691BC">
                  <w:pPr>
                    <w:pStyle w:val="28"/>
                    <w:jc w:val="both"/>
                    <w:rPr>
                      <w:rFonts w:hint="default" w:eastAsia="宋体"/>
                      <w:color w:val="auto"/>
                      <w:lang w:val="en-US" w:eastAsia="zh-CN"/>
                    </w:rPr>
                  </w:pPr>
                  <w:r>
                    <w:rPr>
                      <w:rFonts w:hint="default" w:eastAsia="宋体"/>
                      <w:color w:val="auto"/>
                      <w:lang w:val="en-US" w:eastAsia="zh-CN"/>
                    </w:rPr>
                    <w:t>2.二级保护区内：除第1条禁止的行为外，还禁止下列行为：禁止设置排污口；禁止新建、改建、扩建排放污染物的建设项目；禁止勘探、开采矿产资源；禁止新铺设输送有毒有害物品及石油、成品油的管道；禁止堆放化工原料、危险化学品、矿物油类以及有毒有害矿产品；禁止擅自凿井取水，混合开采承压水和潜水；禁止使用农药，丢弃农药、农药包装物或者清洗施药器械；禁止建造坟墓，丢弃或者掩埋动物尸体以及含病原体的其他废物。已建成的排放污染物的建设项目，由县级以上人民政府责令拆除或者关闭；已有的输送石油、成品油的管道应当调整输油线路，逐步退出；对居民产生的生活污水和垃圾应当统一收集处置。停止使用的取水口，有关单位应当及时封闭。</w:t>
                  </w:r>
                </w:p>
                <w:p w14:paraId="12E26E7C">
                  <w:pPr>
                    <w:pStyle w:val="28"/>
                    <w:jc w:val="both"/>
                    <w:rPr>
                      <w:rFonts w:hint="default" w:eastAsia="宋体"/>
                      <w:color w:val="auto"/>
                      <w:lang w:val="en-US" w:eastAsia="zh-CN"/>
                    </w:rPr>
                  </w:pPr>
                  <w:r>
                    <w:rPr>
                      <w:rFonts w:hint="default" w:eastAsia="宋体"/>
                      <w:color w:val="auto"/>
                      <w:lang w:val="en-US" w:eastAsia="zh-CN"/>
                    </w:rPr>
                    <w:t>3.一级保护区内：除第1、2条禁止的行为外，还禁止下列行为：禁止新建、改建、扩建与供水设施和保护水源无关的建设项目；堆放、倾倒生活垃圾等其他废弃物；从事农牧业活动。已建成的与供水设施和保护水源无关的建设项目，由县级以上人民政府责令拆除或者关闭。自然保护区：</w:t>
                  </w:r>
                </w:p>
                <w:p w14:paraId="3F11F074">
                  <w:pPr>
                    <w:pStyle w:val="28"/>
                    <w:jc w:val="both"/>
                    <w:rPr>
                      <w:rFonts w:hint="default" w:eastAsia="宋体"/>
                      <w:color w:val="auto"/>
                      <w:lang w:val="en-US" w:eastAsia="zh-CN"/>
                    </w:rPr>
                  </w:pPr>
                  <w:r>
                    <w:rPr>
                      <w:rFonts w:hint="default" w:eastAsia="宋体"/>
                      <w:color w:val="auto"/>
                      <w:lang w:val="en-US" w:eastAsia="zh-CN"/>
                    </w:rPr>
                    <w:t>按照《中华人民共和国自然保护区条例》《自然资源部国家林业和草原局关于做好自然保护区范围及功能分区优化调整前期有关工作的函》相关规定及要求进行管控。</w:t>
                  </w:r>
                </w:p>
                <w:p w14:paraId="22A642AD">
                  <w:pPr>
                    <w:pStyle w:val="28"/>
                    <w:jc w:val="both"/>
                    <w:rPr>
                      <w:rFonts w:hint="default" w:eastAsia="宋体"/>
                      <w:color w:val="auto"/>
                      <w:lang w:val="en-US" w:eastAsia="zh-CN"/>
                    </w:rPr>
                  </w:pPr>
                  <w:r>
                    <w:rPr>
                      <w:rFonts w:hint="default" w:eastAsia="宋体"/>
                      <w:color w:val="auto"/>
                      <w:lang w:val="en-US" w:eastAsia="zh-CN"/>
                    </w:rPr>
                    <w:t>1.核心保护区：除满足国家特殊战略需要的有关活动外，原则上禁止人为活动。允许开展的活动按照《自然资源部国家林业和草原局关于做好自然保护区范围及功能分区优化调整前期有关工作的函》相关要求进行管控。</w:t>
                  </w:r>
                </w:p>
                <w:p w14:paraId="7406C2FA">
                  <w:pPr>
                    <w:pStyle w:val="28"/>
                    <w:jc w:val="both"/>
                    <w:rPr>
                      <w:rFonts w:hint="default" w:eastAsia="宋体"/>
                      <w:color w:val="auto"/>
                      <w:lang w:val="en-US" w:eastAsia="zh-CN"/>
                    </w:rPr>
                  </w:pPr>
                  <w:r>
                    <w:rPr>
                      <w:rFonts w:hint="default" w:eastAsia="宋体"/>
                      <w:color w:val="auto"/>
                      <w:lang w:val="en-US" w:eastAsia="zh-CN"/>
                    </w:rPr>
                    <w:t>2.一般控制区：除满足国家特殊战略需要的有关活动外，原则上禁止开发性、生产性建设活动。仅允许对生态功能不造成破坏的有限人为活动按照《自然资源部国家林业和草原局关于做好自然保护区范围及功能分区优化调整前期有关工作的函》相关要求进行管控。</w:t>
                  </w:r>
                </w:p>
                <w:p w14:paraId="6D1C2C34">
                  <w:pPr>
                    <w:pStyle w:val="28"/>
                    <w:jc w:val="both"/>
                    <w:rPr>
                      <w:rFonts w:hint="default" w:eastAsia="宋体"/>
                      <w:color w:val="auto"/>
                      <w:lang w:val="en-US" w:eastAsia="zh-CN"/>
                    </w:rPr>
                  </w:pPr>
                  <w:r>
                    <w:rPr>
                      <w:rFonts w:hint="default" w:eastAsia="宋体"/>
                      <w:color w:val="auto"/>
                      <w:lang w:val="en-US" w:eastAsia="zh-CN"/>
                    </w:rPr>
                    <w:t>生态保护红线：</w:t>
                  </w:r>
                </w:p>
                <w:p w14:paraId="749462A7">
                  <w:pPr>
                    <w:pStyle w:val="28"/>
                    <w:jc w:val="both"/>
                    <w:rPr>
                      <w:rFonts w:hint="default" w:eastAsia="宋体"/>
                      <w:color w:val="auto"/>
                      <w:lang w:val="en-US" w:eastAsia="zh-CN"/>
                    </w:rPr>
                  </w:pPr>
                  <w:r>
                    <w:rPr>
                      <w:rFonts w:hint="default" w:eastAsia="宋体"/>
                      <w:color w:val="auto"/>
                      <w:lang w:val="en-US" w:eastAsia="zh-CN"/>
                    </w:rPr>
                    <w:t>按照《中共中央办公厅国务院办公厅关于在国土空间规划中统筹划定落实三条控制线的指导意见》《自然资源部生态环境部国家林业和草原局关于加强生态保护红线管理的通知（试行）》《陕西省自然资源厅陕西省生态环境厅陕西省林业局关于加强生态保护红线管理的通知（试行）》等相关要求进行管控。</w:t>
                  </w:r>
                </w:p>
                <w:p w14:paraId="50CDD875">
                  <w:pPr>
                    <w:pStyle w:val="28"/>
                    <w:jc w:val="both"/>
                    <w:rPr>
                      <w:rFonts w:hint="default" w:eastAsia="宋体"/>
                      <w:color w:val="auto"/>
                      <w:lang w:val="en-US" w:eastAsia="zh-CN"/>
                    </w:rPr>
                  </w:pPr>
                  <w:r>
                    <w:rPr>
                      <w:rFonts w:hint="default" w:eastAsia="宋体"/>
                      <w:color w:val="auto"/>
                      <w:lang w:val="en-US" w:eastAsia="zh-CN"/>
                    </w:rPr>
                    <w:t>一、加强人为活动管控</w:t>
                  </w:r>
                </w:p>
                <w:p w14:paraId="04AF017D">
                  <w:pPr>
                    <w:pStyle w:val="28"/>
                    <w:jc w:val="both"/>
                    <w:rPr>
                      <w:rFonts w:hint="default" w:eastAsia="宋体"/>
                      <w:color w:val="auto"/>
                      <w:lang w:val="en-US" w:eastAsia="zh-CN"/>
                    </w:rPr>
                  </w:pPr>
                  <w:r>
                    <w:rPr>
                      <w:rFonts w:hint="default" w:eastAsia="宋体"/>
                      <w:color w:val="auto"/>
                      <w:lang w:val="en-US" w:eastAsia="zh-CN"/>
                    </w:rPr>
                    <w:t>（一）规范有限人为活动准入</w:t>
                  </w:r>
                </w:p>
                <w:p w14:paraId="769AE183">
                  <w:pPr>
                    <w:pStyle w:val="28"/>
                    <w:jc w:val="both"/>
                    <w:rPr>
                      <w:rFonts w:hint="default" w:eastAsia="宋体"/>
                      <w:color w:val="auto"/>
                      <w:lang w:val="en-US" w:eastAsia="zh-CN"/>
                    </w:rPr>
                  </w:pPr>
                  <w:r>
                    <w:rPr>
                      <w:rFonts w:hint="default" w:eastAsia="宋体"/>
                      <w:color w:val="auto"/>
                      <w:lang w:val="en-US" w:eastAsia="zh-CN"/>
                    </w:rPr>
                    <w:t>生态保护红线内自然保护地核心保护区外，禁止开发性、生产性建设活动，在符合法律法规的前提下，仅允许以下对生态功能不造成破坏的有限人为活动。</w:t>
                  </w:r>
                </w:p>
                <w:p w14:paraId="00997D5D">
                  <w:pPr>
                    <w:pStyle w:val="28"/>
                    <w:jc w:val="both"/>
                    <w:rPr>
                      <w:rFonts w:hint="default" w:eastAsia="宋体"/>
                      <w:color w:val="auto"/>
                      <w:lang w:val="en-US" w:eastAsia="zh-CN"/>
                    </w:rPr>
                  </w:pPr>
                  <w:r>
                    <w:rPr>
                      <w:rFonts w:hint="default" w:eastAsia="宋体"/>
                      <w:color w:val="auto"/>
                      <w:lang w:val="en-US" w:eastAsia="zh-CN"/>
                    </w:rPr>
                    <w:t>1.管护巡护、保护执法、科学研究、调查监测、测绘导航、防灾减灾救灾、军事国防、疫情防控、应急救援等活动及相关的必要设施修筑。</w:t>
                  </w:r>
                </w:p>
                <w:p w14:paraId="680C8D3E">
                  <w:pPr>
                    <w:pStyle w:val="28"/>
                    <w:jc w:val="both"/>
                    <w:rPr>
                      <w:rFonts w:hint="default" w:eastAsia="宋体"/>
                      <w:color w:val="auto"/>
                      <w:lang w:val="en-US" w:eastAsia="zh-CN"/>
                    </w:rPr>
                  </w:pPr>
                  <w:r>
                    <w:rPr>
                      <w:rFonts w:hint="default" w:eastAsia="宋体"/>
                      <w:color w:val="auto"/>
                      <w:lang w:val="en-US" w:eastAsia="zh-CN"/>
                    </w:rPr>
                    <w:t>2.原住居民和其他合法权益主体，允许在不扩大现有建设用地、耕地、水产养殖规模和放牧强度的前提下，开展种植、放牧、捕捞、养殖等活动，修筑生产生活设施。3.经依法批准的考古调查勘探发掘、古生物化石调查发掘、标本采集和文物保护（工程）等活动。</w:t>
                  </w:r>
                </w:p>
                <w:p w14:paraId="69F9127E">
                  <w:pPr>
                    <w:pStyle w:val="28"/>
                    <w:jc w:val="both"/>
                    <w:rPr>
                      <w:rFonts w:hint="default" w:eastAsia="宋体"/>
                      <w:color w:val="auto"/>
                      <w:lang w:val="en-US" w:eastAsia="zh-CN"/>
                    </w:rPr>
                  </w:pPr>
                  <w:r>
                    <w:rPr>
                      <w:rFonts w:hint="default" w:eastAsia="宋体"/>
                      <w:color w:val="auto"/>
                      <w:lang w:val="en-US" w:eastAsia="zh-CN"/>
                    </w:rPr>
                    <w:t>4.按规定对人工商品林进行抚育采伐，或以提升森林质量、优化栖息地、建设生物防火隔离带等为目的的树种更新，依法开展的竹林采伐经营。</w:t>
                  </w:r>
                </w:p>
                <w:p w14:paraId="6E402ECD">
                  <w:pPr>
                    <w:pStyle w:val="28"/>
                    <w:jc w:val="both"/>
                    <w:rPr>
                      <w:rFonts w:hint="default" w:eastAsia="宋体"/>
                      <w:color w:val="auto"/>
                      <w:lang w:val="en-US" w:eastAsia="zh-CN"/>
                    </w:rPr>
                  </w:pPr>
                  <w:r>
                    <w:rPr>
                      <w:rFonts w:hint="default" w:eastAsia="宋体"/>
                      <w:color w:val="auto"/>
                      <w:lang w:val="en-US" w:eastAsia="zh-CN"/>
                    </w:rPr>
                    <w:t>5.不破坏生态功能的适度参观旅游、科普宣教及符合相关规划的配套性服务设施和相关的必要公共设施建设及维护。</w:t>
                  </w:r>
                </w:p>
                <w:p w14:paraId="55BD60CD">
                  <w:pPr>
                    <w:pStyle w:val="28"/>
                    <w:jc w:val="both"/>
                    <w:rPr>
                      <w:rFonts w:hint="default" w:eastAsia="宋体"/>
                      <w:color w:val="auto"/>
                      <w:lang w:val="en-US" w:eastAsia="zh-CN"/>
                    </w:rPr>
                  </w:pPr>
                  <w:r>
                    <w:rPr>
                      <w:rFonts w:hint="default" w:eastAsia="宋体"/>
                      <w:color w:val="auto"/>
                      <w:lang w:val="en-US" w:eastAsia="zh-CN"/>
                    </w:rPr>
                    <w:t>6.必须且无法避让、符合县级以上国土空间规划的线性基础设施、通讯和防洪、供水、水文设施建设和船舶航行、航道疏浚清淤等活动；已有的合法水利、交通运输等设施运行维护改造。</w:t>
                  </w:r>
                </w:p>
                <w:p w14:paraId="1C94CA27">
                  <w:pPr>
                    <w:pStyle w:val="28"/>
                    <w:jc w:val="both"/>
                    <w:rPr>
                      <w:rFonts w:hint="default" w:eastAsia="宋体"/>
                      <w:color w:val="auto"/>
                      <w:lang w:val="en-US" w:eastAsia="zh-CN"/>
                    </w:rPr>
                  </w:pPr>
                  <w:r>
                    <w:rPr>
                      <w:rFonts w:hint="default" w:eastAsia="宋体"/>
                      <w:color w:val="auto"/>
                      <w:lang w:val="en-US" w:eastAsia="zh-CN"/>
                    </w:rPr>
                    <w:t>7.地质调查与矿产资源勘查开采。包括：基础地质调查和战略性矿产资源远景调查等公益性工作；铀矿勘查开采活动，可办理矿业权登记；</w:t>
                  </w:r>
                  <w:r>
                    <w:rPr>
                      <w:rFonts w:hint="eastAsia"/>
                      <w:color w:val="auto"/>
                      <w:lang w:val="en-US" w:eastAsia="zh-CN"/>
                    </w:rPr>
                    <w:t>已依法</w:t>
                  </w:r>
                  <w:r>
                    <w:rPr>
                      <w:rFonts w:hint="default" w:eastAsia="宋体"/>
                      <w:color w:val="auto"/>
                      <w:lang w:val="en-US" w:eastAsia="zh-CN"/>
                    </w:rPr>
                    <w:t>设立的油气探矿权继续勘查活动，可办理探矿权延续变更（不含扩大勘查区块范围）、保留、注销，当发现可供开采油气资源并探明储量时，可将开采拟占用的地表范围依照国家相关规定调出生态保护红线；已依法设立的油气采矿权不扩大用地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银、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46AE9219">
                  <w:pPr>
                    <w:pStyle w:val="28"/>
                    <w:jc w:val="both"/>
                    <w:rPr>
                      <w:rFonts w:hint="default" w:eastAsia="宋体"/>
                      <w:color w:val="auto"/>
                      <w:lang w:val="en-US" w:eastAsia="zh-CN"/>
                    </w:rPr>
                  </w:pPr>
                  <w:r>
                    <w:rPr>
                      <w:rFonts w:hint="default" w:eastAsia="宋体"/>
                      <w:color w:val="auto"/>
                      <w:lang w:val="en-US" w:eastAsia="zh-CN"/>
                    </w:rPr>
                    <w:t>8.依据县级以上国土空间规划和生态保护修复专项规划开展的生态修复。</w:t>
                  </w:r>
                </w:p>
                <w:p w14:paraId="18C290A6">
                  <w:pPr>
                    <w:pStyle w:val="28"/>
                    <w:jc w:val="both"/>
                    <w:rPr>
                      <w:rFonts w:hint="default" w:eastAsia="宋体"/>
                      <w:color w:val="auto"/>
                      <w:lang w:val="en-US" w:eastAsia="zh-CN"/>
                    </w:rPr>
                  </w:pPr>
                  <w:r>
                    <w:rPr>
                      <w:rFonts w:hint="default" w:eastAsia="宋体"/>
                      <w:color w:val="auto"/>
                      <w:lang w:val="en-US" w:eastAsia="zh-CN"/>
                    </w:rPr>
                    <w:t>9.法律法规规定允许的其他人为活动。</w:t>
                  </w:r>
                </w:p>
                <w:p w14:paraId="4DDA7692">
                  <w:pPr>
                    <w:pStyle w:val="28"/>
                    <w:jc w:val="both"/>
                    <w:rPr>
                      <w:rFonts w:hint="default" w:eastAsia="宋体"/>
                      <w:color w:val="auto"/>
                      <w:lang w:val="en-US" w:eastAsia="zh-CN"/>
                    </w:rPr>
                  </w:pPr>
                  <w:r>
                    <w:rPr>
                      <w:rFonts w:hint="default" w:eastAsia="宋体"/>
                      <w:color w:val="auto"/>
                      <w:lang w:val="en-US" w:eastAsia="zh-CN"/>
                    </w:rPr>
                    <w:t>生态保护红线内自然保护区、风景名胜区、饮用水水源保护区等区域，依照法律法规执行。生态保护红线内允许的有限人为活动及涉及上述区域的，应当征求相关主管部门意见，涉及自然保护地的，应征求林业主管部门或自然保护地管理机构意见。</w:t>
                  </w:r>
                </w:p>
                <w:p w14:paraId="0911B3E6">
                  <w:pPr>
                    <w:pStyle w:val="28"/>
                    <w:jc w:val="both"/>
                    <w:rPr>
                      <w:rFonts w:hint="default" w:eastAsia="宋体"/>
                      <w:color w:val="auto"/>
                      <w:lang w:val="en-US" w:eastAsia="zh-CN"/>
                    </w:rPr>
                  </w:pPr>
                  <w:r>
                    <w:rPr>
                      <w:rFonts w:hint="default" w:eastAsia="宋体"/>
                      <w:color w:val="auto"/>
                      <w:lang w:val="en-US" w:eastAsia="zh-CN"/>
                    </w:rPr>
                    <w:t>（二）加强有限人为活动管理</w:t>
                  </w:r>
                </w:p>
                <w:p w14:paraId="6B9080C3">
                  <w:pPr>
                    <w:pStyle w:val="28"/>
                    <w:jc w:val="both"/>
                    <w:rPr>
                      <w:rFonts w:hint="default" w:eastAsia="宋体"/>
                      <w:color w:val="auto"/>
                      <w:lang w:val="en-US" w:eastAsia="zh-CN"/>
                    </w:rPr>
                  </w:pPr>
                  <w:r>
                    <w:rPr>
                      <w:rFonts w:hint="default" w:eastAsia="宋体"/>
                      <w:color w:val="auto"/>
                      <w:lang w:val="en-US" w:eastAsia="zh-CN"/>
                    </w:rPr>
                    <w:t>1.有限人为活动不涉及新增建设用地审批的，应严格控制活动强度和规模，避免对生态功能造成破坏。其中，无具体建设活动的，由相关部门按规定做好管理；有具体建设活动的，由建设活动所在地县级政府组织自然资源、生态环境、林业等主管部门进行审查，对符合要求的，形成认定意见，明确建设活动符合生态保护红线内允许有限人为活动要求，作为有关部门做好建设活动管理的依据和办理有关手续的要件。原住居民和其他合法权益主体在不扩大现有建设用地范围和规模前提下修筑生活设施的，可免于审查。</w:t>
                  </w:r>
                </w:p>
                <w:p w14:paraId="30FA3A99">
                  <w:pPr>
                    <w:pStyle w:val="28"/>
                    <w:jc w:val="both"/>
                    <w:rPr>
                      <w:rFonts w:hint="default" w:eastAsia="宋体"/>
                      <w:color w:val="auto"/>
                      <w:lang w:val="en-US" w:eastAsia="zh-CN"/>
                    </w:rPr>
                  </w:pPr>
                  <w:r>
                    <w:rPr>
                      <w:rFonts w:hint="default" w:eastAsia="宋体"/>
                      <w:color w:val="auto"/>
                      <w:lang w:val="en-US" w:eastAsia="zh-CN"/>
                    </w:rPr>
                    <w:t>2.有限人为活动涉及新增建设用地审批的，在建设项目用地预审时，由建设项目所在地市、县级政府逐级组织自然资源、生态环境、林业等主管部门开展论证。符合要求的，由市、县分别提出初步认定意见，并明确“建设活动符合生态保护红线内允许有限人为活动要求”初步认定意见纳入预审材料中，同时逐级向省政府提出出具认定意见的申请。申请材料包括：①请示文件；②市、县级政府出具的符合允许有限人为活动的初步认定意见；③市、县级政府组织的专家论证有关材料。包括论证报告、专家意见等；④法律法规规定的其他材料。省自然资源厅按照省政府批办意见组织开展审查，并根据实际情况征求省生态环境厅、省林业局以及其他省级相关部门意见。符合要求的，报请省政府出具认定意见，明确“建设活动符合生态保护红线内允许有限人为活动要求”。省政府的认定意见在报批农用地转用和土地征收时，作为要件纳入用地报批材料中。</w:t>
                  </w:r>
                </w:p>
                <w:p w14:paraId="0A8330D6">
                  <w:pPr>
                    <w:pStyle w:val="28"/>
                    <w:jc w:val="both"/>
                    <w:rPr>
                      <w:rFonts w:hint="default" w:eastAsia="宋体"/>
                      <w:color w:val="auto"/>
                      <w:lang w:val="en-US" w:eastAsia="zh-CN"/>
                    </w:rPr>
                  </w:pPr>
                  <w:r>
                    <w:rPr>
                      <w:rFonts w:hint="default" w:eastAsia="宋体"/>
                      <w:color w:val="auto"/>
                      <w:lang w:val="en-US" w:eastAsia="zh-CN"/>
                    </w:rPr>
                    <w:t>（三）妥善有序处理生态保护红线内的历史遗留问题</w:t>
                  </w:r>
                </w:p>
                <w:p w14:paraId="4C85449A">
                  <w:pPr>
                    <w:pStyle w:val="28"/>
                    <w:jc w:val="both"/>
                    <w:rPr>
                      <w:rFonts w:hint="default" w:eastAsia="宋体"/>
                      <w:color w:val="auto"/>
                      <w:lang w:val="en-US" w:eastAsia="zh-CN"/>
                    </w:rPr>
                  </w:pPr>
                  <w:r>
                    <w:rPr>
                      <w:rFonts w:hint="default" w:eastAsia="宋体"/>
                      <w:color w:val="auto"/>
                      <w:lang w:val="en-US" w:eastAsia="zh-CN"/>
                    </w:rPr>
                    <w:t>1.对生态保护红线内需逐步有序退出的矿业权等，由市级人民政府按照尊重历史、实事求是的原则，结合实际制定退出方案，明确时序安排、补偿安置、生态修复等要求，确保生态安全和社会稳定，退出实施方案报省政府备案。</w:t>
                  </w:r>
                </w:p>
                <w:p w14:paraId="472E97D5">
                  <w:pPr>
                    <w:pStyle w:val="28"/>
                    <w:jc w:val="both"/>
                    <w:rPr>
                      <w:rFonts w:hint="default" w:eastAsia="宋体"/>
                      <w:color w:val="auto"/>
                      <w:lang w:val="en-US" w:eastAsia="zh-CN"/>
                    </w:rPr>
                  </w:pPr>
                  <w:r>
                    <w:rPr>
                      <w:rFonts w:hint="default" w:eastAsia="宋体"/>
                      <w:color w:val="auto"/>
                      <w:lang w:val="en-US" w:eastAsia="zh-CN"/>
                    </w:rPr>
                    <w:t>2.鼓励有条件的地方通过租赁、置换、赎买等方式，取得生态保护红线内的人工商品林所有权或者经营权，实施统一管护，按规定逐步将其调整为公益林。</w:t>
                  </w:r>
                </w:p>
                <w:p w14:paraId="1989FBCD">
                  <w:pPr>
                    <w:pStyle w:val="28"/>
                    <w:jc w:val="both"/>
                    <w:rPr>
                      <w:rFonts w:hint="default" w:eastAsia="宋体"/>
                      <w:color w:val="auto"/>
                      <w:lang w:val="en-US" w:eastAsia="zh-CN"/>
                    </w:rPr>
                  </w:pPr>
                  <w:r>
                    <w:rPr>
                      <w:rFonts w:hint="default" w:eastAsia="宋体"/>
                      <w:color w:val="auto"/>
                      <w:lang w:val="en-US" w:eastAsia="zh-CN"/>
                    </w:rPr>
                    <w:t>3.零星分布的已有水电、风电、光伏设施按照相关法律法规规定进行管理，严禁扩大现有规模与范围，项目到期后由建设单位负责做好生态修复。</w:t>
                  </w:r>
                </w:p>
                <w:p w14:paraId="0CEE1E7C">
                  <w:pPr>
                    <w:pStyle w:val="28"/>
                    <w:jc w:val="both"/>
                    <w:rPr>
                      <w:rFonts w:hint="default" w:eastAsia="宋体"/>
                      <w:color w:val="auto"/>
                      <w:lang w:val="en-US" w:eastAsia="zh-CN"/>
                    </w:rPr>
                  </w:pPr>
                  <w:r>
                    <w:rPr>
                      <w:rFonts w:hint="default" w:eastAsia="宋体"/>
                      <w:color w:val="auto"/>
                      <w:lang w:val="en-US" w:eastAsia="zh-CN"/>
                    </w:rPr>
                    <w:t>二、严格生态保护红线占用审批</w:t>
                  </w:r>
                </w:p>
                <w:p w14:paraId="3F22DF2F">
                  <w:pPr>
                    <w:pStyle w:val="28"/>
                    <w:jc w:val="both"/>
                    <w:rPr>
                      <w:rFonts w:hint="default" w:eastAsia="宋体"/>
                      <w:color w:val="auto"/>
                      <w:lang w:val="en-US" w:eastAsia="zh-CN"/>
                    </w:rPr>
                  </w:pPr>
                  <w:r>
                    <w:rPr>
                      <w:rFonts w:hint="default" w:eastAsia="宋体"/>
                      <w:color w:val="auto"/>
                      <w:lang w:val="en-US" w:eastAsia="zh-CN"/>
                    </w:rPr>
                    <w:t>生态保护红线内允许有限人为活动之外，确需占用生态保护红线的国家重大项目，按照《陕西省自然资源厅陕西省生态环境厅陕西省林业局关于加强生态保护红线管理的通知（试行）》要求办理用地审批。</w:t>
                  </w:r>
                </w:p>
                <w:p w14:paraId="09E5EA61">
                  <w:pPr>
                    <w:pStyle w:val="28"/>
                    <w:jc w:val="both"/>
                    <w:rPr>
                      <w:rFonts w:hint="default" w:eastAsia="宋体"/>
                      <w:color w:val="auto"/>
                      <w:lang w:val="en-US" w:eastAsia="zh-CN"/>
                    </w:rPr>
                  </w:pPr>
                  <w:r>
                    <w:rPr>
                      <w:rFonts w:hint="default" w:eastAsia="宋体"/>
                      <w:color w:val="auto"/>
                      <w:lang w:val="en-US" w:eastAsia="zh-CN"/>
                    </w:rPr>
                    <w:t>1.国家重大项目范围。党中央、国务院发布文件或批准准规划中明确具体名称的项目和国务院批准的项目。</w:t>
                  </w:r>
                  <w:r>
                    <w:rPr>
                      <w:rFonts w:hint="eastAsia"/>
                      <w:color w:val="auto"/>
                      <w:lang w:val="en-US" w:eastAsia="zh-CN"/>
                    </w:rPr>
                    <w:t>中央军委</w:t>
                  </w:r>
                  <w:r>
                    <w:rPr>
                      <w:rFonts w:hint="default" w:eastAsia="宋体"/>
                      <w:color w:val="auto"/>
                      <w:lang w:val="en-US" w:eastAsia="zh-CN"/>
                    </w:rPr>
                    <w:t>及其有关部门批准的军事国防项目。国家级规划（指国务院及其有关部门正式颁布）明确的交通、水利项目。国家级规划明确的电网项目。国家级规划明确的且符合国家产业政策的能源矿产勘查开采、油气管线、水电、核电项目。为贯彻落实</w:t>
                  </w:r>
                  <w:r>
                    <w:rPr>
                      <w:rFonts w:hint="eastAsia"/>
                      <w:color w:val="auto"/>
                      <w:lang w:val="en-US" w:eastAsia="zh-CN"/>
                    </w:rPr>
                    <w:t>党中央</w:t>
                  </w:r>
                  <w:r>
                    <w:rPr>
                      <w:rFonts w:hint="default" w:eastAsia="宋体"/>
                      <w:color w:val="auto"/>
                      <w:lang w:val="en-US" w:eastAsia="zh-CN"/>
                    </w:rPr>
                    <w:t>、国务院重大决策部署，国务院投资主管部门或国务院投资主管部门会同有关部门确认的交通、能源、水利等基础设施项目。按照国家重大项目用地保障工作机制要求，国家发展改革委会同有关部门确认的需中央加大建设用地保障力度，确实难以避让的国家重大项目。</w:t>
                  </w:r>
                </w:p>
                <w:p w14:paraId="32A21389">
                  <w:pPr>
                    <w:pStyle w:val="28"/>
                    <w:jc w:val="both"/>
                    <w:rPr>
                      <w:rFonts w:hint="default" w:eastAsia="宋体"/>
                      <w:color w:val="auto"/>
                      <w:lang w:val="en-US" w:eastAsia="zh-CN"/>
                    </w:rPr>
                  </w:pPr>
                  <w:r>
                    <w:rPr>
                      <w:rFonts w:hint="default" w:eastAsia="宋体"/>
                      <w:color w:val="auto"/>
                      <w:lang w:val="en-US" w:eastAsia="zh-CN"/>
                    </w:rPr>
                    <w:t>水环境优先保护区：</w:t>
                  </w:r>
                </w:p>
                <w:p w14:paraId="54B79A57">
                  <w:pPr>
                    <w:pStyle w:val="28"/>
                    <w:jc w:val="both"/>
                    <w:rPr>
                      <w:rFonts w:hint="default" w:eastAsia="宋体"/>
                      <w:color w:val="auto"/>
                      <w:lang w:val="en-US" w:eastAsia="zh-CN"/>
                    </w:rPr>
                  </w:pPr>
                  <w:r>
                    <w:rPr>
                      <w:rFonts w:hint="default" w:eastAsia="宋体"/>
                      <w:color w:val="auto"/>
                      <w:lang w:val="en-US" w:eastAsia="zh-CN"/>
                    </w:rPr>
                    <w:t>1.强化江河源头和饮用水水源地保护。加强主要江河源头、重要水源涵养地的水环境保护，划定禁止开发范围。依法划定和保护饮用水水源保护区，加强水土流失和面源污染防治，严格管控入河排污口，严格河道采砂管理，维系江河湖库健康生命。</w:t>
                  </w:r>
                </w:p>
                <w:p w14:paraId="54BB9337">
                  <w:pPr>
                    <w:pStyle w:val="28"/>
                    <w:ind w:firstLine="210" w:firstLineChars="100"/>
                    <w:jc w:val="both"/>
                    <w:rPr>
                      <w:rFonts w:hint="default" w:eastAsia="宋体"/>
                      <w:color w:val="auto"/>
                      <w:lang w:val="en-US" w:eastAsia="zh-CN"/>
                    </w:rPr>
                  </w:pPr>
                  <w:r>
                    <w:rPr>
                      <w:rFonts w:hint="default" w:eastAsia="宋体"/>
                      <w:color w:val="auto"/>
                      <w:lang w:val="en-US" w:eastAsia="zh-CN"/>
                    </w:rPr>
                    <w:t>秦岭重点保护区：</w:t>
                  </w:r>
                </w:p>
                <w:p w14:paraId="685815EF">
                  <w:pPr>
                    <w:pStyle w:val="28"/>
                    <w:jc w:val="both"/>
                    <w:rPr>
                      <w:rFonts w:hint="default" w:eastAsia="宋体"/>
                      <w:color w:val="auto"/>
                      <w:lang w:val="en-US" w:eastAsia="zh-CN"/>
                    </w:rPr>
                  </w:pPr>
                  <w:r>
                    <w:rPr>
                      <w:rFonts w:hint="default" w:eastAsia="宋体"/>
                      <w:color w:val="auto"/>
                      <w:lang w:val="en-US" w:eastAsia="zh-CN"/>
                    </w:rPr>
                    <w:t>按照《陕西省秦岭生态环境保护条例》《陕西省秦岭重点保护区、一般保护区产业准入清单（试行）》《陕西省秦岭生态环境保护总体规划》《西安市秦岭生态环境保护规划》《西安市秦岭生态环境保护负面清单》《西安市秦岭生态环境保护建设工作任务》等相关规定及要求进行管控。</w:t>
                  </w:r>
                </w:p>
                <w:p w14:paraId="0F400CAA">
                  <w:pPr>
                    <w:pStyle w:val="28"/>
                    <w:jc w:val="both"/>
                    <w:rPr>
                      <w:rFonts w:hint="default" w:eastAsia="宋体"/>
                      <w:color w:val="auto"/>
                      <w:lang w:val="en-US" w:eastAsia="zh-CN"/>
                    </w:rPr>
                  </w:pPr>
                  <w:r>
                    <w:rPr>
                      <w:rFonts w:hint="default" w:eastAsia="宋体"/>
                      <w:color w:val="auto"/>
                      <w:lang w:val="en-US" w:eastAsia="zh-CN"/>
                    </w:rPr>
                    <w:t>1.除《陕西省秦岭生态环境保护条例》另有规定外，不得进行与其保护功能不相符的开发建设活动；实施能源、交通、水利、国防等重大基础设施建设和战略性矿产资源勘查项目，应当依法进行环境影响评价，报省人民政府审定。在秦岭范围内的生产、生活和建设活动。</w:t>
                  </w:r>
                </w:p>
                <w:p w14:paraId="0D20DE03">
                  <w:pPr>
                    <w:pStyle w:val="28"/>
                    <w:jc w:val="both"/>
                    <w:rPr>
                      <w:rFonts w:hint="default" w:eastAsia="宋体"/>
                      <w:color w:val="auto"/>
                      <w:lang w:val="en-US" w:eastAsia="zh-CN"/>
                    </w:rPr>
                  </w:pPr>
                  <w:r>
                    <w:rPr>
                      <w:rFonts w:hint="default" w:eastAsia="宋体"/>
                      <w:color w:val="auto"/>
                      <w:lang w:val="en-US" w:eastAsia="zh-CN"/>
                    </w:rPr>
                    <w:t>2.淘汰高污染、高耗能、高排放落后产能，鼓励发展绿色循环经济。</w:t>
                  </w:r>
                </w:p>
                <w:p w14:paraId="5A5DE990">
                  <w:pPr>
                    <w:pStyle w:val="28"/>
                    <w:jc w:val="both"/>
                    <w:rPr>
                      <w:rFonts w:hint="default" w:eastAsia="宋体"/>
                      <w:color w:val="auto"/>
                      <w:lang w:val="en-US" w:eastAsia="zh-CN"/>
                    </w:rPr>
                  </w:pPr>
                  <w:r>
                    <w:rPr>
                      <w:rFonts w:hint="default" w:eastAsia="宋体"/>
                      <w:color w:val="auto"/>
                      <w:lang w:val="en-US" w:eastAsia="zh-CN"/>
                    </w:rPr>
                    <w:t>3.不得新建水电站、开发风电项目，已建成或者在建的水电站，由县级以上人民政府依法组织限期退出、拆除，恢复生态；禁止房地产开发、新建高尔夫球场。不得新建、扩建、异地重建宗教活动场所，新建、扩建经营性公墓，新建宾馆、招待所、培训中心、疗养院、度假山庄；削山造地、挖地造湖。</w:t>
                  </w:r>
                </w:p>
                <w:p w14:paraId="0043E799">
                  <w:pPr>
                    <w:pStyle w:val="28"/>
                    <w:jc w:val="both"/>
                    <w:rPr>
                      <w:rFonts w:hint="default" w:eastAsia="宋体"/>
                      <w:color w:val="auto"/>
                      <w:lang w:val="en-US" w:eastAsia="zh-CN"/>
                    </w:rPr>
                  </w:pPr>
                  <w:r>
                    <w:rPr>
                      <w:rFonts w:hint="default" w:eastAsia="宋体"/>
                      <w:color w:val="auto"/>
                      <w:lang w:val="en-US" w:eastAsia="zh-CN"/>
                    </w:rPr>
                    <w:t>4.禁止勘探、开发矿产资源和开山采石，禁止在秦岭主梁以北的秦岭范围内开山采石。已取得矿业权的企业和现有采石企业，由县级以上人民政府依法组织限期退出。</w:t>
                  </w:r>
                </w:p>
                <w:p w14:paraId="3B8200A5">
                  <w:pPr>
                    <w:pStyle w:val="28"/>
                    <w:jc w:val="both"/>
                    <w:rPr>
                      <w:rFonts w:hint="default" w:eastAsia="宋体"/>
                      <w:color w:val="auto"/>
                      <w:lang w:val="en-US" w:eastAsia="zh-CN"/>
                    </w:rPr>
                  </w:pPr>
                  <w:r>
                    <w:rPr>
                      <w:rFonts w:hint="default" w:eastAsia="宋体"/>
                      <w:color w:val="auto"/>
                      <w:lang w:val="en-US" w:eastAsia="zh-CN"/>
                    </w:rPr>
                    <w:t>5.禁止从检疫性林业有害生物发生区和疫区调入林木种苗和其他可能携带检疫性林业有害生物的木材及产品；调入松材线虫寄主植物及其制品。</w:t>
                  </w:r>
                </w:p>
                <w:p w14:paraId="0E4F5153">
                  <w:pPr>
                    <w:pStyle w:val="28"/>
                    <w:jc w:val="both"/>
                    <w:rPr>
                      <w:rFonts w:hint="default" w:eastAsia="宋体"/>
                      <w:color w:val="auto"/>
                      <w:lang w:val="en-US" w:eastAsia="zh-CN"/>
                    </w:rPr>
                  </w:pPr>
                  <w:r>
                    <w:rPr>
                      <w:rFonts w:hint="default" w:eastAsia="宋体"/>
                      <w:color w:val="auto"/>
                      <w:lang w:val="en-US" w:eastAsia="zh-CN"/>
                    </w:rPr>
                    <w:t>6.法律法规禁止的其他活动。7.重点保护区施行《陕西省秦岭重点保护区、一般保护区产业准入清单（试行）》的“允许目录”，禁止允许目录之外产业、项目进入。</w:t>
                  </w:r>
                </w:p>
                <w:p w14:paraId="186B8E65">
                  <w:pPr>
                    <w:pStyle w:val="28"/>
                    <w:jc w:val="both"/>
                    <w:rPr>
                      <w:rFonts w:hint="default" w:eastAsia="宋体"/>
                      <w:color w:val="auto"/>
                      <w:lang w:val="en-US" w:eastAsia="zh-CN"/>
                    </w:rPr>
                  </w:pPr>
                  <w:r>
                    <w:rPr>
                      <w:rFonts w:hint="default" w:eastAsia="宋体"/>
                      <w:color w:val="auto"/>
                      <w:lang w:val="en-US" w:eastAsia="zh-CN"/>
                    </w:rPr>
                    <w:t>8.秦岭范围内国家公园、自然保护区、自然公园、生态保护红线、饮用水水源</w:t>
                  </w:r>
                  <w:r>
                    <w:rPr>
                      <w:rFonts w:hint="eastAsia"/>
                      <w:color w:val="auto"/>
                      <w:lang w:val="en-US" w:eastAsia="zh-CN"/>
                    </w:rPr>
                    <w:t>保护区</w:t>
                  </w:r>
                  <w:r>
                    <w:rPr>
                      <w:rFonts w:hint="default" w:eastAsia="宋体"/>
                      <w:color w:val="auto"/>
                      <w:lang w:val="en-US" w:eastAsia="zh-CN"/>
                    </w:rPr>
                    <w:t>、天然林、不可移动文物等特定地理区域、空间的管控措施，依照相关</w:t>
                  </w:r>
                  <w:r>
                    <w:rPr>
                      <w:rFonts w:hint="eastAsia"/>
                      <w:color w:val="auto"/>
                      <w:lang w:val="en-US" w:eastAsia="zh-CN"/>
                    </w:rPr>
                    <w:t>法律法规</w:t>
                  </w:r>
                  <w:r>
                    <w:rPr>
                      <w:rFonts w:hint="default" w:eastAsia="宋体"/>
                      <w:color w:val="auto"/>
                      <w:lang w:val="en-US" w:eastAsia="zh-CN"/>
                    </w:rPr>
                    <w:t>和规定、规划执行。</w:t>
                  </w:r>
                </w:p>
                <w:p w14:paraId="3F4527BE">
                  <w:pPr>
                    <w:pStyle w:val="28"/>
                    <w:jc w:val="both"/>
                    <w:rPr>
                      <w:rFonts w:hint="default" w:eastAsia="宋体"/>
                      <w:color w:val="auto"/>
                      <w:lang w:val="en-US" w:eastAsia="zh-CN"/>
                    </w:rPr>
                  </w:pPr>
                  <w:r>
                    <w:rPr>
                      <w:rFonts w:hint="default" w:eastAsia="宋体"/>
                      <w:color w:val="auto"/>
                      <w:lang w:val="en-US" w:eastAsia="zh-CN"/>
                    </w:rPr>
                    <w:t>9.法律、行政法规对重点保护区的产业、项目有相关规定的，从其相关规定。县级以上人民政府对“产业准入清单”中的产业、项目，有更严格准入规定的，从其规定。</w:t>
                  </w:r>
                </w:p>
              </w:tc>
              <w:tc>
                <w:tcPr>
                  <w:tcW w:w="1133" w:type="pct"/>
                  <w:vAlign w:val="top"/>
                </w:tcPr>
                <w:p w14:paraId="26E8A1E4">
                  <w:pPr>
                    <w:pStyle w:val="28"/>
                    <w:jc w:val="both"/>
                    <w:rPr>
                      <w:rFonts w:hint="default" w:eastAsia="宋体"/>
                      <w:color w:val="auto"/>
                      <w:lang w:val="en-US" w:eastAsia="zh-CN"/>
                    </w:rPr>
                  </w:pPr>
                </w:p>
                <w:p w14:paraId="048CC222">
                  <w:pPr>
                    <w:pStyle w:val="3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本项目位于湑水河老县城村段，位于水源地保护区范围内，项目施工期废水均合理处置，对保护区功能没有造成损害，且项目运行期无污染，不存在环境限制性因素。</w:t>
                  </w:r>
                </w:p>
                <w:p w14:paraId="2D9D5CDA">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eastAsia" w:ascii="Times New Roman" w:hAnsi="Times New Roman" w:eastAsia="宋体" w:cs="Times New Roman"/>
                      <w:color w:val="auto"/>
                      <w:kern w:val="2"/>
                      <w:sz w:val="21"/>
                      <w:szCs w:val="24"/>
                      <w:lang w:val="en-US" w:eastAsia="zh-CN" w:bidi="ar-SA"/>
                    </w:rPr>
                    <w:t>，本项目位于秦岭重点保护区范围，且本项目是对湑水河老县城村段进行防洪治理工程，属于水利类工程项目，</w:t>
                  </w:r>
                  <w:r>
                    <w:rPr>
                      <w:rFonts w:hint="default" w:ascii="Times New Roman" w:hAnsi="Times New Roman" w:eastAsia="宋体" w:cs="Times New Roman"/>
                      <w:color w:val="auto"/>
                      <w:kern w:val="2"/>
                      <w:sz w:val="21"/>
                      <w:szCs w:val="24"/>
                      <w:lang w:val="en-US" w:eastAsia="zh-CN" w:bidi="ar-SA"/>
                    </w:rPr>
                    <w:t>对生态功能不造成破坏</w:t>
                  </w:r>
                  <w:r>
                    <w:rPr>
                      <w:rFonts w:hint="eastAsia" w:ascii="Times New Roman" w:hAnsi="Times New Roman" w:eastAsia="宋体" w:cs="Times New Roman"/>
                      <w:color w:val="auto"/>
                      <w:kern w:val="2"/>
                      <w:sz w:val="21"/>
                      <w:szCs w:val="24"/>
                      <w:lang w:val="en-US" w:eastAsia="zh-CN" w:bidi="ar-SA"/>
                    </w:rPr>
                    <w:t>。</w:t>
                  </w:r>
                </w:p>
              </w:tc>
              <w:tc>
                <w:tcPr>
                  <w:tcW w:w="266" w:type="pct"/>
                  <w:vAlign w:val="top"/>
                </w:tcPr>
                <w:p w14:paraId="18A11F54">
                  <w:pPr>
                    <w:pStyle w:val="28"/>
                    <w:jc w:val="center"/>
                    <w:rPr>
                      <w:rFonts w:hint="default" w:eastAsia="宋体"/>
                      <w:color w:val="auto"/>
                      <w:lang w:val="en-US" w:eastAsia="zh-CN"/>
                    </w:rPr>
                  </w:pPr>
                  <w:r>
                    <w:rPr>
                      <w:rFonts w:hint="eastAsia" w:eastAsia="宋体"/>
                      <w:color w:val="auto"/>
                      <w:lang w:val="en-US" w:eastAsia="zh-CN"/>
                    </w:rPr>
                    <w:t>符合</w:t>
                  </w:r>
                </w:p>
              </w:tc>
            </w:tr>
          </w:tbl>
          <w:p w14:paraId="1EAC952B">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b/>
                <w:bCs/>
                <w:color w:val="auto"/>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 xml:space="preserve">2 </w:t>
            </w:r>
            <w:r>
              <w:rPr>
                <w:rFonts w:hint="default" w:ascii="Times New Roman" w:hAnsi="Times New Roman" w:eastAsia="宋体" w:cs="Times New Roman"/>
                <w:b/>
                <w:color w:val="auto"/>
                <w:sz w:val="24"/>
                <w:szCs w:val="24"/>
              </w:rPr>
              <w:t xml:space="preserve">  </w:t>
            </w:r>
            <w:r>
              <w:rPr>
                <w:rFonts w:hint="default" w:ascii="Times New Roman" w:hAnsi="Times New Roman" w:eastAsia="宋体" w:cs="Times New Roman"/>
                <w:b/>
                <w:color w:val="auto"/>
                <w:sz w:val="24"/>
                <w:szCs w:val="24"/>
                <w:lang w:eastAsia="zh-CN"/>
              </w:rPr>
              <w:t>项目与</w:t>
            </w:r>
            <w:r>
              <w:rPr>
                <w:rFonts w:hint="default" w:ascii="Times New Roman" w:hAnsi="Times New Roman" w:eastAsia="宋体" w:cs="Times New Roman"/>
                <w:b/>
                <w:color w:val="auto"/>
                <w:sz w:val="24"/>
                <w:szCs w:val="24"/>
              </w:rPr>
              <w:t>区域环境管控要求</w:t>
            </w:r>
            <w:r>
              <w:rPr>
                <w:rFonts w:hint="default" w:ascii="Times New Roman" w:hAnsi="Times New Roman" w:eastAsia="宋体" w:cs="Times New Roman"/>
                <w:b/>
                <w:color w:val="auto"/>
                <w:sz w:val="24"/>
                <w:szCs w:val="24"/>
                <w:lang w:eastAsia="zh-CN"/>
              </w:rPr>
              <w:t>符合性分析</w:t>
            </w:r>
          </w:p>
          <w:tbl>
            <w:tblPr>
              <w:tblStyle w:val="19"/>
              <w:tblW w:w="7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330"/>
              <w:gridCol w:w="390"/>
              <w:gridCol w:w="540"/>
              <w:gridCol w:w="390"/>
              <w:gridCol w:w="3550"/>
              <w:gridCol w:w="1670"/>
              <w:gridCol w:w="556"/>
            </w:tblGrid>
            <w:tr w14:paraId="3DC1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center"/>
                </w:tcPr>
                <w:p w14:paraId="2B2B9A30">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序号</w:t>
                  </w:r>
                </w:p>
              </w:tc>
              <w:tc>
                <w:tcPr>
                  <w:tcW w:w="330" w:type="dxa"/>
                  <w:vAlign w:val="center"/>
                </w:tcPr>
                <w:p w14:paraId="51B4A4C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涉及的管控单元编码</w:t>
                  </w:r>
                </w:p>
              </w:tc>
              <w:tc>
                <w:tcPr>
                  <w:tcW w:w="390" w:type="dxa"/>
                  <w:vAlign w:val="center"/>
                </w:tcPr>
                <w:p w14:paraId="456492A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区域名称</w:t>
                  </w:r>
                </w:p>
              </w:tc>
              <w:tc>
                <w:tcPr>
                  <w:tcW w:w="540" w:type="dxa"/>
                  <w:vAlign w:val="center"/>
                </w:tcPr>
                <w:p w14:paraId="3EB3E78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省份</w:t>
                  </w:r>
                </w:p>
              </w:tc>
              <w:tc>
                <w:tcPr>
                  <w:tcW w:w="390" w:type="dxa"/>
                  <w:vAlign w:val="center"/>
                </w:tcPr>
                <w:p w14:paraId="5E7B504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管控类别</w:t>
                  </w:r>
                </w:p>
              </w:tc>
              <w:tc>
                <w:tcPr>
                  <w:tcW w:w="3550" w:type="dxa"/>
                  <w:vAlign w:val="center"/>
                </w:tcPr>
                <w:p w14:paraId="3B897F61">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en-US"/>
                    </w:rPr>
                  </w:pPr>
                  <w:r>
                    <w:rPr>
                      <w:rFonts w:hint="default" w:eastAsia="宋体"/>
                      <w:color w:val="auto"/>
                      <w:lang w:val="en-US" w:eastAsia="zh-CN"/>
                    </w:rPr>
                    <w:t>管控要求</w:t>
                  </w:r>
                </w:p>
              </w:tc>
              <w:tc>
                <w:tcPr>
                  <w:tcW w:w="1670" w:type="dxa"/>
                  <w:vAlign w:val="center"/>
                </w:tcPr>
                <w:p w14:paraId="0E3B772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eastAsia="宋体"/>
                      <w:color w:val="auto"/>
                      <w:lang w:val="en-US" w:eastAsia="zh-CN"/>
                    </w:rPr>
                    <w:t>本项目情况</w:t>
                  </w:r>
                </w:p>
              </w:tc>
              <w:tc>
                <w:tcPr>
                  <w:tcW w:w="556" w:type="dxa"/>
                  <w:vAlign w:val="center"/>
                </w:tcPr>
                <w:p w14:paraId="15C1934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eastAsia" w:eastAsia="宋体"/>
                      <w:color w:val="auto"/>
                      <w:lang w:val="en-US" w:eastAsia="zh-CN"/>
                    </w:rPr>
                    <w:t>符合性</w:t>
                  </w:r>
                </w:p>
              </w:tc>
            </w:tr>
            <w:tr w14:paraId="4E99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top"/>
                </w:tcPr>
                <w:p w14:paraId="373E043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p>
                <w:p w14:paraId="21CE2237">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default" w:eastAsia="宋体"/>
                      <w:color w:val="auto"/>
                      <w:lang w:val="en-US" w:eastAsia="zh-CN"/>
                    </w:rPr>
                    <w:t>1</w:t>
                  </w:r>
                </w:p>
              </w:tc>
              <w:tc>
                <w:tcPr>
                  <w:tcW w:w="330" w:type="dxa"/>
                  <w:vAlign w:val="center"/>
                </w:tcPr>
                <w:p w14:paraId="41F8E014">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p>
                <w:p w14:paraId="2A43A86C">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default" w:eastAsia="宋体"/>
                      <w:color w:val="auto"/>
                      <w:lang w:val="en-US" w:eastAsia="zh-CN"/>
                    </w:rPr>
                    <w:t>*</w:t>
                  </w:r>
                </w:p>
              </w:tc>
              <w:tc>
                <w:tcPr>
                  <w:tcW w:w="390" w:type="dxa"/>
                  <w:vAlign w:val="center"/>
                </w:tcPr>
                <w:p w14:paraId="6731D3A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p>
                <w:p w14:paraId="0F0DB325">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default" w:eastAsia="宋体"/>
                      <w:color w:val="auto"/>
                      <w:lang w:val="en-US" w:eastAsia="zh-CN"/>
                    </w:rPr>
                    <w:t>省域</w:t>
                  </w:r>
                </w:p>
              </w:tc>
              <w:tc>
                <w:tcPr>
                  <w:tcW w:w="540" w:type="dxa"/>
                  <w:vAlign w:val="center"/>
                </w:tcPr>
                <w:p w14:paraId="4B36BAD2">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p>
                <w:p w14:paraId="1D54661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default" w:eastAsia="宋体"/>
                      <w:color w:val="auto"/>
                      <w:lang w:val="en-US" w:eastAsia="zh-CN"/>
                    </w:rPr>
                    <w:t>陕西省</w:t>
                  </w:r>
                </w:p>
              </w:tc>
              <w:tc>
                <w:tcPr>
                  <w:tcW w:w="390" w:type="dxa"/>
                  <w:vAlign w:val="center"/>
                </w:tcPr>
                <w:p w14:paraId="092ACF3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p>
                <w:p w14:paraId="74A7E226">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default" w:eastAsia="宋体"/>
                      <w:color w:val="auto"/>
                      <w:lang w:val="en-US" w:eastAsia="zh-CN"/>
                    </w:rPr>
                    <w:t>空间布局约束</w:t>
                  </w:r>
                </w:p>
              </w:tc>
              <w:tc>
                <w:tcPr>
                  <w:tcW w:w="3550" w:type="dxa"/>
                  <w:vAlign w:val="center"/>
                </w:tcPr>
                <w:p w14:paraId="4149F868">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1执行国家及地方法律法规、规章对国家公园、自然保护区、风景名胜区、世界自然和文化遗产、饮用水水源保护区、生态保护红线、自然公园（森林公园、湿地公园、地质公园、沙漠公园等）、水产种质资源保护区、重要湿地、国家级公益林等保护区域的禁止性和限制性要求。</w:t>
                  </w:r>
                </w:p>
                <w:p w14:paraId="5679F5C6">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2执行《市场准入负面清单（2022年版）》《产业结构调整指导目录（2019年本）》及《国家发展改革委关于修改</w:t>
                  </w:r>
                  <w:r>
                    <w:rPr>
                      <w:rFonts w:hint="eastAsia"/>
                      <w:color w:val="auto"/>
                      <w:lang w:val="en-US" w:eastAsia="zh-CN"/>
                    </w:rPr>
                    <w:t>〈</w:t>
                  </w:r>
                  <w:r>
                    <w:rPr>
                      <w:rFonts w:hint="default" w:eastAsia="宋体"/>
                      <w:color w:val="auto"/>
                      <w:lang w:val="en-US" w:eastAsia="zh-CN"/>
                    </w:rPr>
                    <w:t>产业结构调整指导目录（2019年本）</w:t>
                  </w:r>
                  <w:r>
                    <w:rPr>
                      <w:rFonts w:hint="eastAsia"/>
                      <w:color w:val="auto"/>
                      <w:lang w:val="en-US" w:eastAsia="zh-CN"/>
                    </w:rPr>
                    <w:t>〉</w:t>
                  </w:r>
                  <w:r>
                    <w:rPr>
                      <w:rFonts w:hint="default" w:eastAsia="宋体"/>
                      <w:color w:val="auto"/>
                      <w:lang w:val="en-US" w:eastAsia="zh-CN"/>
                    </w:rPr>
                    <w:t>的决定》。3执行《矿产资源节约与综合利用鼓励、限制和淘汰技术目录》。</w:t>
                  </w:r>
                </w:p>
                <w:p w14:paraId="2ADC9694">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4严把“两高”项目环境准入关。坚决遏制高耗能、高排放项目盲目发展。</w:t>
                  </w:r>
                </w:p>
                <w:p w14:paraId="628DCAF3">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5重点淘汰未完成超低排放改造的火电、钢铁、建材行业产能。推动重污染企业搬迁入园或依法关闭。实施工业企业退城搬迁改造，除部分必须依托城市生产或直接服务于城市的工业企业外，原则上在2027年底前达不到能效标杆和环保绩效级（含绩效引领）企业由当地政府组织搬迁至主城区以外的开发区和工业园区。</w:t>
                  </w:r>
                </w:p>
                <w:p w14:paraId="4A4BFF0D">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6不再新建燃煤集中供热站。各市（区）建成区禁止新建燃煤锅炉。</w:t>
                  </w:r>
                </w:p>
                <w:p w14:paraId="69169F0B">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7在永久基本农田集中区域，不得规划新建可能造成土壤污染的建设项目。</w:t>
                  </w:r>
                </w:p>
                <w:p w14:paraId="2FED2668">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8执行《中华人民共和国黄河保护法》《黄河流域生态保护和高质量发展规划纲要》。</w:t>
                  </w:r>
                </w:p>
                <w:p w14:paraId="486F13A9">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9执行《陕西省黄河流域生态保护和高质量发展规划》《陕西省黄河流域生态环境保护规划》《陕西省黄河生态保护治理攻坚战实施方案》。</w:t>
                  </w:r>
                </w:p>
                <w:p w14:paraId="327AA722">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10执行《中华人民共和国长江保护法》。</w:t>
                  </w:r>
                </w:p>
                <w:p w14:paraId="016B6BC9">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color w:val="auto"/>
                      <w:lang w:val="en-US" w:eastAsia="zh-CN"/>
                    </w:rPr>
                  </w:pPr>
                  <w:r>
                    <w:rPr>
                      <w:rFonts w:hint="default" w:eastAsia="宋体"/>
                      <w:color w:val="auto"/>
                      <w:lang w:val="en-US" w:eastAsia="zh-CN"/>
                    </w:rPr>
                    <w:t>11执行《陕西省秦岭生态环境保护条例》《陕西省秦岭重点保护区一般保护区产业准入清单》。</w:t>
                  </w:r>
                </w:p>
                <w:p w14:paraId="38D1F069">
                  <w:pPr>
                    <w:pStyle w:val="28"/>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color w:val="auto"/>
                      <w:lang w:val="en-US" w:eastAsia="zh-CN"/>
                    </w:rPr>
                  </w:pPr>
                  <w:r>
                    <w:rPr>
                      <w:rFonts w:hint="default" w:eastAsia="宋体"/>
                      <w:color w:val="auto"/>
                      <w:lang w:val="en-US" w:eastAsia="zh-CN"/>
                    </w:rPr>
                    <w:t>12在秦岭核心保护区和重点保护区内禁止新设采矿权，秦岭主梁以北、封山育林区、禁牧区内禁止新设采石采矿权，严格控制和规范在秦岭一般保护区的露天采矿活动。</w:t>
                  </w:r>
                </w:p>
              </w:tc>
              <w:tc>
                <w:tcPr>
                  <w:tcW w:w="1670" w:type="dxa"/>
                </w:tcPr>
                <w:p w14:paraId="3709B4A9">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auto"/>
                      <w:lang w:val="en-US" w:eastAsia="zh-CN"/>
                    </w:rPr>
                  </w:pPr>
                  <w:r>
                    <w:rPr>
                      <w:rFonts w:hint="eastAsia"/>
                      <w:color w:val="auto"/>
                      <w:lang w:val="en-US" w:eastAsia="zh-CN"/>
                    </w:rPr>
                    <w:t>项目位于陕西省周至县老县城国家级自然保护区内</w:t>
                  </w:r>
                  <w:r>
                    <w:rPr>
                      <w:rFonts w:hint="eastAsia" w:eastAsia="宋体"/>
                      <w:color w:val="auto"/>
                      <w:lang w:val="en-US" w:eastAsia="zh-CN"/>
                    </w:rPr>
                    <w:t>，项目类别为127.防洪治涝工程，属于</w:t>
                  </w:r>
                  <w:r>
                    <w:rPr>
                      <w:rFonts w:hint="default" w:eastAsia="宋体"/>
                      <w:color w:val="auto"/>
                      <w:lang w:val="en-US" w:eastAsia="zh-CN"/>
                    </w:rPr>
                    <w:t>其保护功能相符的开发建设活动</w:t>
                  </w:r>
                  <w:r>
                    <w:rPr>
                      <w:rFonts w:hint="eastAsia"/>
                      <w:color w:val="auto"/>
                      <w:lang w:val="en-US" w:eastAsia="zh-CN"/>
                    </w:rPr>
                    <w:t>，</w:t>
                  </w:r>
                  <w:r>
                    <w:rPr>
                      <w:rFonts w:hint="default" w:eastAsia="宋体"/>
                      <w:color w:val="auto"/>
                      <w:lang w:val="en-US" w:eastAsia="zh-CN"/>
                    </w:rPr>
                    <w:t>符合秦岭生态环境保护规划，</w:t>
                  </w:r>
                  <w:r>
                    <w:rPr>
                      <w:rFonts w:hint="eastAsia"/>
                      <w:color w:val="auto"/>
                      <w:lang w:val="en-US" w:eastAsia="zh-CN"/>
                    </w:rPr>
                    <w:t>并</w:t>
                  </w:r>
                  <w:r>
                    <w:rPr>
                      <w:rFonts w:hint="default" w:eastAsia="宋体"/>
                      <w:color w:val="auto"/>
                      <w:lang w:val="en-US" w:eastAsia="zh-CN"/>
                    </w:rPr>
                    <w:t>依法采取相应生态环境保护措施，保证秦岭生态功能不降低</w:t>
                  </w:r>
                  <w:r>
                    <w:rPr>
                      <w:rFonts w:hint="eastAsia"/>
                      <w:color w:val="auto"/>
                      <w:lang w:val="en-US" w:eastAsia="zh-CN"/>
                    </w:rPr>
                    <w:t>。</w:t>
                  </w:r>
                  <w:r>
                    <w:rPr>
                      <w:rFonts w:hint="eastAsia" w:ascii="Times New Roman" w:hAnsi="Times New Roman" w:eastAsia="宋体" w:cs="Times New Roman"/>
                      <w:color w:val="auto"/>
                      <w:spacing w:val="-1"/>
                      <w:sz w:val="21"/>
                      <w:szCs w:val="21"/>
                      <w:lang w:val="en-US" w:eastAsia="zh-CN"/>
                    </w:rPr>
                    <w:t>根据中华人民共和国国家发展和改革委员会令2021年第49号令《产业结构调整指导目录（2024年本）》，项目不属于国家限制类和淘汰类的项目，属于鼓励类；同时对照</w:t>
                  </w:r>
                  <w:r>
                    <w:rPr>
                      <w:rFonts w:hint="default" w:eastAsia="宋体"/>
                      <w:color w:val="auto"/>
                      <w:lang w:val="en-US" w:eastAsia="zh-CN"/>
                    </w:rPr>
                    <w:t>《陕西省秦岭重点保护区一般保护区产业准入清单》</w:t>
                  </w:r>
                  <w:r>
                    <w:rPr>
                      <w:rFonts w:hint="eastAsia" w:ascii="Times New Roman" w:hAnsi="Times New Roman" w:eastAsia="宋体" w:cs="Times New Roman"/>
                      <w:color w:val="auto"/>
                      <w:spacing w:val="-1"/>
                      <w:sz w:val="21"/>
                      <w:szCs w:val="21"/>
                      <w:lang w:val="en-US" w:eastAsia="zh-CN"/>
                    </w:rPr>
                    <w:t>，项目不属于禁止或许可类准入类</w:t>
                  </w:r>
                  <w:r>
                    <w:rPr>
                      <w:rFonts w:hint="eastAsia" w:cs="Times New Roman"/>
                      <w:color w:val="auto"/>
                      <w:spacing w:val="-1"/>
                      <w:sz w:val="21"/>
                      <w:szCs w:val="21"/>
                      <w:lang w:val="en-US" w:eastAsia="zh-CN"/>
                    </w:rPr>
                    <w:t>。</w:t>
                  </w:r>
                </w:p>
              </w:tc>
              <w:tc>
                <w:tcPr>
                  <w:tcW w:w="556" w:type="dxa"/>
                </w:tcPr>
                <w:p w14:paraId="33CD2098">
                  <w:pPr>
                    <w:pStyle w:val="2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lang w:val="en-US" w:eastAsia="zh-CN"/>
                    </w:rPr>
                  </w:pPr>
                  <w:r>
                    <w:rPr>
                      <w:rFonts w:hint="eastAsia"/>
                      <w:color w:val="auto"/>
                      <w:lang w:val="en-US" w:eastAsia="zh-CN"/>
                    </w:rPr>
                    <w:t>符合</w:t>
                  </w:r>
                </w:p>
              </w:tc>
            </w:tr>
            <w:tr w14:paraId="7D3A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tcPr>
                <w:p w14:paraId="63802FCB">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30" w:type="dxa"/>
                </w:tcPr>
                <w:p w14:paraId="61301E4B">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tcPr>
                <w:p w14:paraId="6AFF6E7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540" w:type="dxa"/>
                </w:tcPr>
                <w:p w14:paraId="682393B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tcPr>
                <w:p w14:paraId="6DC1119A">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污染物排放管控</w:t>
                  </w:r>
                </w:p>
              </w:tc>
              <w:tc>
                <w:tcPr>
                  <w:tcW w:w="3550" w:type="dxa"/>
                  <w:vAlign w:val="center"/>
                </w:tcPr>
                <w:p w14:paraId="49346839">
                  <w:pPr>
                    <w:keepNext w:val="0"/>
                    <w:keepLines w:val="0"/>
                    <w:pageBreakBefore w:val="0"/>
                    <w:widowControl w:val="0"/>
                    <w:kinsoku/>
                    <w:wordWrap/>
                    <w:overflowPunct/>
                    <w:topLinePunct w:val="0"/>
                    <w:autoSpaceDE/>
                    <w:autoSpaceDN/>
                    <w:bidi w:val="0"/>
                    <w:adjustRightInd/>
                    <w:snapToGrid/>
                    <w:spacing w:before="78" w:line="240" w:lineRule="auto"/>
                    <w:ind w:left="112" w:right="106" w:firstLine="8"/>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1按照煤炭集中使用、清洁利用原则，重点削减小型燃煤锅炉、民用散煤与农业用煤消费量，对以煤、石焦、渣油、重油等为燃料的锅炉和工业炉窑，加快使用清洁低碳能源以及工厂余热、电力热力等进行替代。</w:t>
                  </w:r>
                </w:p>
                <w:p w14:paraId="5A4D4288">
                  <w:pPr>
                    <w:keepNext w:val="0"/>
                    <w:keepLines w:val="0"/>
                    <w:pageBreakBefore w:val="0"/>
                    <w:widowControl w:val="0"/>
                    <w:kinsoku/>
                    <w:wordWrap/>
                    <w:overflowPunct/>
                    <w:topLinePunct w:val="0"/>
                    <w:autoSpaceDE/>
                    <w:autoSpaceDN/>
                    <w:bidi w:val="0"/>
                    <w:adjustRightInd/>
                    <w:snapToGrid/>
                    <w:spacing w:before="78" w:line="240" w:lineRule="auto"/>
                    <w:ind w:left="111" w:right="106" w:firstLine="2"/>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22023年底前，关中地区钢铁企业完成超低排放改造，其他地区钢铁企业于2025年底前完成改造。2025年底前，80%左右水泥熟料产能和60%左右独立粉磨站完成超低排放改造，西安市、咸阳市、渭南市全面完成改造，其他地区2027年底前全部完成。2025年底前，焦化行业独立焦化企业100%产能全面完成超低排放改造；2027年底前，半焦生产基本完成改造。推动燃气锅炉实施低氮燃烧深度改造，鼓励企业将氮氧化物浓度控制在30毫克/立方米。</w:t>
                  </w:r>
                </w:p>
                <w:p w14:paraId="5E983C02">
                  <w:pPr>
                    <w:keepNext w:val="0"/>
                    <w:keepLines w:val="0"/>
                    <w:pageBreakBefore w:val="0"/>
                    <w:widowControl w:val="0"/>
                    <w:kinsoku/>
                    <w:wordWrap/>
                    <w:overflowPunct/>
                    <w:topLinePunct w:val="0"/>
                    <w:autoSpaceDE/>
                    <w:autoSpaceDN/>
                    <w:bidi w:val="0"/>
                    <w:adjustRightInd/>
                    <w:snapToGrid/>
                    <w:spacing w:before="98" w:line="240" w:lineRule="auto"/>
                    <w:ind w:left="112" w:right="87" w:firstLine="2"/>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3全省黄河流域城镇生活污水处理达到《陕西省黄河流域污水综合排放标准》（DB61/224-2018）排放限值要求。汉江、丹江流域城镇污水处理设施执行《汉丹江流域（陕西段）重点行业水污染物排放限值》。</w:t>
                  </w:r>
                </w:p>
                <w:p w14:paraId="1F73F620">
                  <w:pPr>
                    <w:keepNext w:val="0"/>
                    <w:keepLines w:val="0"/>
                    <w:pageBreakBefore w:val="0"/>
                    <w:widowControl w:val="0"/>
                    <w:kinsoku/>
                    <w:wordWrap/>
                    <w:overflowPunct/>
                    <w:topLinePunct w:val="0"/>
                    <w:autoSpaceDE/>
                    <w:autoSpaceDN/>
                    <w:bidi w:val="0"/>
                    <w:adjustRightInd/>
                    <w:snapToGrid/>
                    <w:spacing w:before="119" w:line="240" w:lineRule="auto"/>
                    <w:ind w:left="112" w:right="106" w:hanging="2"/>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4在矿产资源开发利用集中区域、安全利用类和严格管控类耕地集中区涉及的县（区），执行《铅、锌工业污染物排放标准》《铜、镍、钴工业污染物排放标准》《无机化学工业污染物排放标准》中颗粒物和镉等重点重金属特别排放限值。</w:t>
                  </w:r>
                </w:p>
                <w:p w14:paraId="2C8A85D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5矿井水在充分利用后仍有剩余且确需外排的，经处理后拟外排的，除应符合相关法律法规政策外，其相关水质因子值还应满足或优于受纳水体环境功能区划规定的地表水环境质量对应值，含盐量不得超过1000毫克/升，且不得影响上下游相关河段水功能需求。</w:t>
                  </w:r>
                </w:p>
              </w:tc>
              <w:tc>
                <w:tcPr>
                  <w:tcW w:w="1670" w:type="dxa"/>
                </w:tcPr>
                <w:p w14:paraId="03734F62">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1"/>
                      <w:lang w:val="en-US" w:eastAsia="zh-CN" w:bidi="ar-SA"/>
                    </w:rPr>
                    <w:t>本项目施工期废水主要包括施工人员生活污水和施工机械设备及车辆冲洗废水</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在施工过程中应推行清洁</w:t>
                  </w:r>
                  <w:r>
                    <w:rPr>
                      <w:rFonts w:hint="default" w:ascii="Times New Roman" w:hAnsi="Times New Roman" w:eastAsia="宋体" w:cs="Times New Roman"/>
                      <w:color w:val="auto"/>
                      <w:kern w:val="2"/>
                      <w:sz w:val="21"/>
                      <w:szCs w:val="24"/>
                      <w:lang w:val="en-US" w:eastAsia="zh-CN" w:bidi="ar-SA"/>
                    </w:rPr>
                    <w:t>生产工艺，尽量降低生产废水总量及浓度。在各工区</w:t>
                  </w:r>
                  <w:r>
                    <w:rPr>
                      <w:rFonts w:hint="default" w:ascii="Times New Roman" w:hAnsi="Times New Roman" w:eastAsia="宋体" w:cs="Times New Roman"/>
                      <w:color w:val="auto"/>
                      <w:kern w:val="2"/>
                      <w:sz w:val="21"/>
                      <w:szCs w:val="21"/>
                      <w:lang w:val="en-US" w:eastAsia="zh-CN" w:bidi="ar-SA"/>
                    </w:rPr>
                    <w:t>废水排放量较大且集中的地方需修建废水沉淀池，经一天以上时间沉淀后</w:t>
                  </w:r>
                  <w:r>
                    <w:rPr>
                      <w:rFonts w:hint="eastAsia" w:ascii="Times New Roman" w:hAnsi="Times New Roman" w:eastAsia="宋体" w:cs="Times New Roman"/>
                      <w:color w:val="auto"/>
                      <w:kern w:val="2"/>
                      <w:sz w:val="21"/>
                      <w:szCs w:val="21"/>
                      <w:lang w:val="en-US" w:eastAsia="zh-CN" w:bidi="ar-SA"/>
                    </w:rPr>
                    <w:t>回用</w:t>
                  </w:r>
                  <w:r>
                    <w:rPr>
                      <w:rFonts w:hint="default" w:ascii="Times New Roman" w:hAnsi="Times New Roman" w:eastAsia="宋体" w:cs="Times New Roman"/>
                      <w:color w:val="auto"/>
                      <w:kern w:val="2"/>
                      <w:sz w:val="21"/>
                      <w:szCs w:val="21"/>
                      <w:lang w:val="en-US" w:eastAsia="zh-CN" w:bidi="ar-SA"/>
                    </w:rPr>
                    <w:t>。在较集中的施工、生活区，修建</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化粪池，</w:t>
                  </w:r>
                  <w:r>
                    <w:rPr>
                      <w:rFonts w:hint="eastAsia" w:cs="Times New Roman"/>
                      <w:color w:val="auto"/>
                      <w:kern w:val="2"/>
                      <w:sz w:val="21"/>
                      <w:szCs w:val="21"/>
                      <w:lang w:val="en-US" w:eastAsia="zh-CN" w:bidi="ar-SA"/>
                    </w:rPr>
                    <w:t>做</w:t>
                  </w:r>
                  <w:r>
                    <w:rPr>
                      <w:rFonts w:hint="default" w:ascii="Times New Roman" w:hAnsi="Times New Roman" w:eastAsia="宋体" w:cs="Times New Roman"/>
                      <w:color w:val="auto"/>
                      <w:kern w:val="2"/>
                      <w:sz w:val="21"/>
                      <w:szCs w:val="21"/>
                      <w:lang w:val="en-US" w:eastAsia="zh-CN" w:bidi="ar-SA"/>
                    </w:rPr>
                    <w:t>简易处理后排放</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施工过程产生的运输车辆冲洗废水及施工废水经沉淀池沉淀处理后回用，不外排。</w:t>
                  </w:r>
                  <w:r>
                    <w:rPr>
                      <w:rFonts w:hint="default" w:ascii="Times New Roman" w:hAnsi="Times New Roman" w:eastAsia="宋体" w:cs="Times New Roman"/>
                      <w:color w:val="auto"/>
                      <w:spacing w:val="0"/>
                      <w:position w:val="0"/>
                      <w:sz w:val="21"/>
                      <w:szCs w:val="21"/>
                      <w:lang w:val="en-US" w:eastAsia="zh-CN"/>
                    </w:rPr>
                    <w:t>其余不涉及</w:t>
                  </w:r>
                  <w:r>
                    <w:rPr>
                      <w:rFonts w:hint="default" w:ascii="Times New Roman" w:hAnsi="Times New Roman" w:eastAsia="宋体" w:cs="Times New Roman"/>
                      <w:color w:val="auto"/>
                      <w:spacing w:val="0"/>
                      <w:position w:val="0"/>
                      <w:sz w:val="21"/>
                      <w:szCs w:val="21"/>
                    </w:rPr>
                    <w:t>污染物排放管控</w:t>
                  </w:r>
                  <w:r>
                    <w:rPr>
                      <w:rFonts w:hint="eastAsia" w:ascii="Times New Roman" w:hAnsi="Times New Roman" w:eastAsia="宋体" w:cs="Times New Roman"/>
                      <w:color w:val="auto"/>
                      <w:spacing w:val="0"/>
                      <w:position w:val="0"/>
                      <w:sz w:val="21"/>
                      <w:szCs w:val="21"/>
                      <w:lang w:val="en-US" w:eastAsia="zh-CN"/>
                    </w:rPr>
                    <w:t>要求内容。</w:t>
                  </w:r>
                </w:p>
              </w:tc>
              <w:tc>
                <w:tcPr>
                  <w:tcW w:w="556" w:type="dxa"/>
                </w:tcPr>
                <w:p w14:paraId="7EBF569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eastAsia="宋体"/>
                      <w:b/>
                      <w:bCs/>
                      <w:color w:val="auto"/>
                      <w:vertAlign w:val="baseline"/>
                      <w:lang w:val="en-US" w:eastAsia="zh-CN"/>
                    </w:rPr>
                  </w:pPr>
                  <w:r>
                    <w:rPr>
                      <w:rFonts w:hint="eastAsia" w:ascii="Times New Roman" w:hAnsi="Times New Roman" w:eastAsia="宋体" w:cs="Times New Roman"/>
                      <w:color w:val="auto"/>
                      <w:kern w:val="2"/>
                      <w:sz w:val="21"/>
                      <w:szCs w:val="24"/>
                      <w:lang w:val="en-US" w:eastAsia="zh-CN" w:bidi="ar-SA"/>
                    </w:rPr>
                    <w:t>符合</w:t>
                  </w:r>
                </w:p>
              </w:tc>
            </w:tr>
            <w:tr w14:paraId="649C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tcPr>
                <w:p w14:paraId="72FE065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30" w:type="dxa"/>
                </w:tcPr>
                <w:p w14:paraId="64C0C640">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tcPr>
                <w:p w14:paraId="71C1B1A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540" w:type="dxa"/>
                </w:tcPr>
                <w:p w14:paraId="78474AD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tcPr>
                <w:p w14:paraId="0AA46F6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环境风险防控</w:t>
                  </w:r>
                </w:p>
              </w:tc>
              <w:tc>
                <w:tcPr>
                  <w:tcW w:w="3550" w:type="dxa"/>
                  <w:vAlign w:val="center"/>
                </w:tcPr>
                <w:p w14:paraId="5AEEA9B0">
                  <w:pPr>
                    <w:keepNext w:val="0"/>
                    <w:keepLines w:val="0"/>
                    <w:pageBreakBefore w:val="0"/>
                    <w:widowControl w:val="0"/>
                    <w:kinsoku/>
                    <w:wordWrap/>
                    <w:overflowPunct/>
                    <w:topLinePunct w:val="0"/>
                    <w:autoSpaceDE/>
                    <w:autoSpaceDN/>
                    <w:bidi w:val="0"/>
                    <w:adjustRightInd/>
                    <w:snapToGrid/>
                    <w:spacing w:before="77" w:line="240" w:lineRule="auto"/>
                    <w:ind w:left="112" w:right="106" w:firstLine="8"/>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1加强重点饮用水水源地河流、重要跨界河流以及其他敏感水体风险防控，编制“一河一策一图”应急处置方案。</w:t>
                  </w:r>
                </w:p>
                <w:p w14:paraId="717ABBE7">
                  <w:pPr>
                    <w:keepNext w:val="0"/>
                    <w:keepLines w:val="0"/>
                    <w:pageBreakBefore w:val="0"/>
                    <w:widowControl w:val="0"/>
                    <w:kinsoku/>
                    <w:wordWrap/>
                    <w:overflowPunct/>
                    <w:topLinePunct w:val="0"/>
                    <w:autoSpaceDE/>
                    <w:autoSpaceDN/>
                    <w:bidi w:val="0"/>
                    <w:adjustRightInd/>
                    <w:snapToGrid/>
                    <w:spacing w:before="77" w:line="240" w:lineRule="auto"/>
                    <w:ind w:left="112" w:right="106" w:firstLine="8"/>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2将环境风险纳入常态化管理，推进危险废物、重金属及尾矿环境、核与辐射等重点领域环境风险防控，加强新污染物治理，健全环境应急体系，推动环境风险防控由应急管理向全过程管理转变，提升生态环境安全保障水平。</w:t>
                  </w:r>
                </w:p>
                <w:p w14:paraId="54119F96">
                  <w:pPr>
                    <w:keepNext w:val="0"/>
                    <w:keepLines w:val="0"/>
                    <w:pageBreakBefore w:val="0"/>
                    <w:widowControl w:val="0"/>
                    <w:kinsoku/>
                    <w:wordWrap/>
                    <w:overflowPunct/>
                    <w:topLinePunct w:val="0"/>
                    <w:autoSpaceDE/>
                    <w:autoSpaceDN/>
                    <w:bidi w:val="0"/>
                    <w:adjustRightInd/>
                    <w:snapToGrid/>
                    <w:spacing w:before="118" w:line="240" w:lineRule="auto"/>
                    <w:ind w:left="112" w:right="51" w:firstLine="2"/>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3在矿产开发集中区域实施有色金属等行业污染整治提升行动，加大有色金属行业企业生产工艺提升改造力度，锌冶炼企业加快竖罐炼锌设备替代改造。深入推进涉重企业清洁生产，开展有色、钢铁、硫酸、磷肥等行业企业涉铊废水治理。</w:t>
                  </w:r>
                </w:p>
                <w:p w14:paraId="4FEFEC5A">
                  <w:pPr>
                    <w:keepNext w:val="0"/>
                    <w:keepLines w:val="0"/>
                    <w:pageBreakBefore w:val="0"/>
                    <w:widowControl w:val="0"/>
                    <w:kinsoku/>
                    <w:wordWrap/>
                    <w:overflowPunct/>
                    <w:topLinePunct w:val="0"/>
                    <w:autoSpaceDE/>
                    <w:autoSpaceDN/>
                    <w:bidi w:val="0"/>
                    <w:adjustRightInd/>
                    <w:snapToGrid/>
                    <w:spacing w:before="77" w:line="240" w:lineRule="auto"/>
                    <w:ind w:left="113" w:right="106" w:firstLine="3"/>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4加强尾矿库污染治理。全面排查所有在用、停用、闭库、废弃及闭库后再利用的尾矿库，摸清尾矿库运行情况和污染源情况，划分环境风险等级，完善尾矿库污染治理设施，储备应急物资，最大限度降低溃坝等事故污染农田、水体等敏感受体的风险。</w:t>
                  </w:r>
                </w:p>
                <w:p w14:paraId="4EF915C1">
                  <w:pPr>
                    <w:keepNext w:val="0"/>
                    <w:keepLines w:val="0"/>
                    <w:pageBreakBefore w:val="0"/>
                    <w:widowControl w:val="0"/>
                    <w:kinsoku/>
                    <w:wordWrap/>
                    <w:overflowPunct/>
                    <w:topLinePunct w:val="0"/>
                    <w:autoSpaceDE/>
                    <w:autoSpaceDN/>
                    <w:bidi w:val="0"/>
                    <w:adjustRightInd/>
                    <w:snapToGrid/>
                    <w:spacing w:before="121" w:line="240" w:lineRule="auto"/>
                    <w:ind w:left="113" w:right="106" w:firstLine="1"/>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5严格新（改、扩）建尾矿库环境准入，加强尾矿库渗滤液收集处置，鼓励尾矿渣综合利用，无主尾矿库应由当地人民政府依法闭库或封场绿化，防止水土流失和环境损害。</w:t>
                  </w:r>
                </w:p>
                <w:p w14:paraId="01E14F1F">
                  <w:pPr>
                    <w:keepNext w:val="0"/>
                    <w:keepLines w:val="0"/>
                    <w:pageBreakBefore w:val="0"/>
                    <w:widowControl w:val="0"/>
                    <w:kinsoku/>
                    <w:wordWrap/>
                    <w:overflowPunct/>
                    <w:topLinePunct w:val="0"/>
                    <w:autoSpaceDE/>
                    <w:autoSpaceDN/>
                    <w:bidi w:val="0"/>
                    <w:adjustRightInd/>
                    <w:snapToGrid/>
                    <w:spacing w:before="120" w:line="240" w:lineRule="auto"/>
                    <w:ind w:left="113" w:right="106" w:firstLine="2"/>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6对使用有毒有害化学物质或在生产过程中排放国家认定的新污染物的企业，全面实施强制性清洁生产审核。加强石化、涂料、纺织印染、橡胶、医药等行业新污染物环境风险管控。</w:t>
                  </w:r>
                </w:p>
                <w:p w14:paraId="3B686E05">
                  <w:pPr>
                    <w:keepNext w:val="0"/>
                    <w:keepLines w:val="0"/>
                    <w:pageBreakBefore w:val="0"/>
                    <w:widowControl w:val="0"/>
                    <w:kinsoku/>
                    <w:wordWrap/>
                    <w:overflowPunct/>
                    <w:topLinePunct w:val="0"/>
                    <w:autoSpaceDE/>
                    <w:autoSpaceDN/>
                    <w:bidi w:val="0"/>
                    <w:adjustRightInd/>
                    <w:snapToGrid/>
                    <w:spacing w:before="117" w:line="240" w:lineRule="auto"/>
                    <w:ind w:left="113" w:right="49" w:firstLine="1"/>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7落实工业企业环境风险防范主体责任。以石油加工、煤化工、化学原料和化学制品制造、涉重金属企业为重点，合理布设企业生产设施，强化工业企业应急导流槽、事故调蓄池、雨污总排口应急闸坝等事故排水收集截留设施，以及传输泵、配套管线、应急发电等事故水输送设施等建设，合理设置消防处置用事故水池和雨水监测池。</w:t>
                  </w:r>
                </w:p>
                <w:p w14:paraId="2046D238">
                  <w:pPr>
                    <w:keepNext w:val="0"/>
                    <w:keepLines w:val="0"/>
                    <w:pageBreakBefore w:val="0"/>
                    <w:widowControl w:val="0"/>
                    <w:kinsoku/>
                    <w:wordWrap/>
                    <w:overflowPunct/>
                    <w:topLinePunct w:val="0"/>
                    <w:autoSpaceDE/>
                    <w:autoSpaceDN/>
                    <w:bidi w:val="0"/>
                    <w:adjustRightInd/>
                    <w:snapToGrid/>
                    <w:spacing w:before="112" w:line="240" w:lineRule="auto"/>
                    <w:ind w:left="113" w:right="61"/>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8排放《有毒有害水污染物名录》中所列有毒有害水污染物的企事业单位和其他生产经营者，应当对排污口和周边环境进行监测，评估环境风险，排查环境安全隐患，并公开有毒有害水污染物信息，采取有效措施防范环境风险。</w:t>
                  </w:r>
                </w:p>
                <w:p w14:paraId="739A50A1">
                  <w:pPr>
                    <w:keepNext w:val="0"/>
                    <w:keepLines w:val="0"/>
                    <w:pageBreakBefore w:val="0"/>
                    <w:widowControl w:val="0"/>
                    <w:kinsoku/>
                    <w:wordWrap/>
                    <w:overflowPunct/>
                    <w:topLinePunct w:val="0"/>
                    <w:autoSpaceDE/>
                    <w:autoSpaceDN/>
                    <w:bidi w:val="0"/>
                    <w:adjustRightInd/>
                    <w:snapToGrid/>
                    <w:spacing w:before="120" w:line="240" w:lineRule="auto"/>
                    <w:ind w:left="112" w:right="61"/>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9完善土壤、地下水和农业农村污染防治法规标准体系，健全风险管控和修复制度，强化监管执法和环境监测能力建设，健全环境监测网络，健全土壤、地下水污染防治数据管理信息系统平台，提升科技支撑能力，推进治理体系和治理能力现代化。10针对存在地下水污染的工业集聚区（以化工产业为主导）、危险废物处置场和生活垃圾填埋场等，实施地下水污染风险管控，阻止污染扩散。</w:t>
                  </w:r>
                </w:p>
                <w:p w14:paraId="61257B1C">
                  <w:pPr>
                    <w:keepNext w:val="0"/>
                    <w:keepLines w:val="0"/>
                    <w:pageBreakBefore w:val="0"/>
                    <w:widowControl w:val="0"/>
                    <w:kinsoku/>
                    <w:wordWrap/>
                    <w:overflowPunct/>
                    <w:topLinePunct w:val="0"/>
                    <w:autoSpaceDE/>
                    <w:autoSpaceDN/>
                    <w:bidi w:val="0"/>
                    <w:adjustRightInd/>
                    <w:snapToGrid/>
                    <w:spacing w:before="122" w:line="240" w:lineRule="auto"/>
                    <w:ind w:left="112" w:right="106" w:firstLine="8"/>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11以涉石油、煤炭产业链输送链，涉危险废物涉重金属企业、化工园区为重点，加强黄河流域重要支流、跨界河流以及其他环境敏感目标环境风险防范与治理。</w:t>
                  </w:r>
                </w:p>
                <w:p w14:paraId="7BC79E3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12完善黄河干流以及重要支流上下游联防联控机制，加强省、市、县三级和重点企业应急物资库建设，加强以石化、化工等重点行业、油气管道环境风险防范</w:t>
                  </w:r>
                  <w:r>
                    <w:rPr>
                      <w:rFonts w:hint="eastAsia" w:cs="Times New Roman"/>
                      <w:color w:val="auto"/>
                      <w:kern w:val="2"/>
                      <w:sz w:val="21"/>
                      <w:szCs w:val="24"/>
                      <w:lang w:val="en-US" w:eastAsia="zh-CN" w:bidi="ar-SA"/>
                    </w:rPr>
                    <w:t>建立健全</w:t>
                  </w:r>
                  <w:r>
                    <w:rPr>
                      <w:rFonts w:hint="default" w:ascii="Times New Roman" w:hAnsi="Times New Roman" w:eastAsia="宋体" w:cs="Times New Roman"/>
                      <w:color w:val="auto"/>
                      <w:kern w:val="2"/>
                      <w:sz w:val="21"/>
                      <w:szCs w:val="24"/>
                      <w:lang w:val="en-US" w:eastAsia="zh-CN" w:bidi="ar-SA"/>
                    </w:rPr>
                    <w:t>新污染物治理体系。</w:t>
                  </w:r>
                </w:p>
              </w:tc>
              <w:tc>
                <w:tcPr>
                  <w:tcW w:w="1670" w:type="dxa"/>
                </w:tcPr>
                <w:p w14:paraId="73053AC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本项目属于防洪除涝类工程，位于水源地保护区范围内，项目施工期废水均合理处置，对保护区功能没有造成损害，且项目运行期无污染，不存在环境限制性因素。施工期间</w:t>
                  </w:r>
                  <w:r>
                    <w:rPr>
                      <w:rFonts w:hint="default" w:cs="Times New Roman"/>
                      <w:color w:val="auto"/>
                      <w:kern w:val="2"/>
                      <w:sz w:val="21"/>
                      <w:szCs w:val="24"/>
                      <w:lang w:val="en-US" w:eastAsia="zh-CN" w:bidi="ar-SA"/>
                    </w:rPr>
                    <w:t>项</w:t>
                  </w:r>
                  <w:r>
                    <w:rPr>
                      <w:rFonts w:hint="default" w:ascii="Times New Roman" w:hAnsi="Times New Roman" w:eastAsia="宋体" w:cs="Times New Roman"/>
                      <w:color w:val="auto"/>
                      <w:spacing w:val="0"/>
                      <w:position w:val="0"/>
                      <w:sz w:val="21"/>
                      <w:szCs w:val="21"/>
                      <w:lang w:val="en-US" w:eastAsia="zh-CN"/>
                    </w:rPr>
                    <w:t>目</w:t>
                  </w:r>
                  <w:r>
                    <w:rPr>
                      <w:rFonts w:hint="eastAsia" w:ascii="Times New Roman" w:hAnsi="Times New Roman" w:eastAsia="宋体" w:cs="Times New Roman"/>
                      <w:color w:val="auto"/>
                      <w:spacing w:val="0"/>
                      <w:position w:val="0"/>
                      <w:sz w:val="21"/>
                      <w:szCs w:val="21"/>
                      <w:lang w:val="en-US" w:eastAsia="zh-CN"/>
                    </w:rPr>
                    <w:t>不涉及</w:t>
                  </w:r>
                  <w:r>
                    <w:rPr>
                      <w:rFonts w:hint="default" w:ascii="Times New Roman" w:hAnsi="Times New Roman" w:eastAsia="宋体" w:cs="Times New Roman"/>
                      <w:color w:val="auto"/>
                      <w:spacing w:val="0"/>
                      <w:position w:val="0"/>
                      <w:sz w:val="21"/>
                      <w:szCs w:val="21"/>
                    </w:rPr>
                    <w:t>环境风险防控</w:t>
                  </w:r>
                  <w:r>
                    <w:rPr>
                      <w:rFonts w:hint="eastAsia" w:ascii="Times New Roman" w:hAnsi="Times New Roman" w:eastAsia="宋体" w:cs="Times New Roman"/>
                      <w:color w:val="auto"/>
                      <w:spacing w:val="0"/>
                      <w:position w:val="0"/>
                      <w:sz w:val="21"/>
                      <w:szCs w:val="21"/>
                      <w:lang w:val="en-US" w:eastAsia="zh-CN"/>
                    </w:rPr>
                    <w:t>要求内容。</w:t>
                  </w:r>
                </w:p>
              </w:tc>
              <w:tc>
                <w:tcPr>
                  <w:tcW w:w="556" w:type="dxa"/>
                </w:tcPr>
                <w:p w14:paraId="5FC9B86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eastAsia="宋体"/>
                      <w:b/>
                      <w:bCs/>
                      <w:color w:val="auto"/>
                      <w:vertAlign w:val="baseline"/>
                      <w:lang w:val="en-US" w:eastAsia="zh-CN"/>
                    </w:rPr>
                  </w:pPr>
                  <w:r>
                    <w:rPr>
                      <w:rFonts w:hint="eastAsia" w:cs="Times New Roman"/>
                      <w:color w:val="auto"/>
                      <w:kern w:val="2"/>
                      <w:sz w:val="21"/>
                      <w:szCs w:val="24"/>
                      <w:lang w:val="en-US" w:eastAsia="zh-CN" w:bidi="ar-SA"/>
                    </w:rPr>
                    <w:t>符合</w:t>
                  </w:r>
                </w:p>
              </w:tc>
            </w:tr>
            <w:tr w14:paraId="4495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tcPr>
                <w:p w14:paraId="0AF29AA8">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color w:val="auto"/>
                      <w:vertAlign w:val="baseline"/>
                    </w:rPr>
                  </w:pPr>
                </w:p>
              </w:tc>
              <w:tc>
                <w:tcPr>
                  <w:tcW w:w="330" w:type="dxa"/>
                </w:tcPr>
                <w:p w14:paraId="6BD8BA2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color w:val="auto"/>
                      <w:vertAlign w:val="baseline"/>
                    </w:rPr>
                  </w:pPr>
                </w:p>
              </w:tc>
              <w:tc>
                <w:tcPr>
                  <w:tcW w:w="390" w:type="dxa"/>
                </w:tcPr>
                <w:p w14:paraId="741B119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color w:val="auto"/>
                      <w:vertAlign w:val="baseline"/>
                    </w:rPr>
                  </w:pPr>
                </w:p>
              </w:tc>
              <w:tc>
                <w:tcPr>
                  <w:tcW w:w="540" w:type="dxa"/>
                </w:tcPr>
                <w:p w14:paraId="5E846EE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tcPr>
                <w:p w14:paraId="02CD64D8">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资源开发效率要求</w:t>
                  </w:r>
                </w:p>
              </w:tc>
              <w:tc>
                <w:tcPr>
                  <w:tcW w:w="3550" w:type="dxa"/>
                  <w:vAlign w:val="center"/>
                </w:tcPr>
                <w:p w14:paraId="2523491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12025年，陕西省用水总量107.0亿立方米，万元国内生产总值用水量比2020年下降12%，万元工业增加值用水量比2020年下降10%。</w:t>
                  </w:r>
                </w:p>
                <w:p w14:paraId="1AD586D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2到2025年，非化石能源消费比重达16%，可再生电力装机总量达到6500万千瓦。到2030年，非化石能源消费比重达到20%左右。</w:t>
                  </w:r>
                </w:p>
                <w:p w14:paraId="31F8604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3到2025年陕北、关中地级城市再生水利用率达到25%以上，陕南地区再生水利用率不低于10%。</w:t>
                  </w:r>
                </w:p>
                <w:p w14:paraId="69F7409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4对地下水超采区继续采取高效节水、域外调水替代、封井等措施，大力减少地下水开采量。</w:t>
                  </w:r>
                </w:p>
                <w:p w14:paraId="45BF52D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5稳妥有序推进大气污染防治重点区域燃料类煤气发生炉、燃煤热风炉、加热炉、热处理炉、干燥炉（窑）以及建材行业煤炭减量，实施清洁电力和天然气替代。</w:t>
                  </w:r>
                </w:p>
                <w:p w14:paraId="19BE4E3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推广大型燃煤电厂热电联产改造，充分挖掘供热潜力，推动淘汰供热管网覆盖范围内的燃煤锅炉和散煤。加大落后燃煤锅炉和燃煤小热电退出力度，推动以工业余热、电厂余热、清洁能源等替代煤炭供热（蒸汽）。</w:t>
                  </w:r>
                </w:p>
                <w:p w14:paraId="415A2DA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7推动能源供给体系清洁化、低碳化和终端能源消费电气化。推进煤炭绿色智能开采、清洁安全高效利用，发展清洁高效煤电。实施可再生能源替代行动。推进多元储能系统建设与应用。持续推进冬季清洁取暖。实施城乡配电网建设和智能升级计划。</w:t>
                  </w:r>
                </w:p>
                <w:p w14:paraId="5136993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8加快固废综合利用和技术创新，推动冶炼废渣、脱硫石膏、结晶杂盐、金属镁渣、电石渣、气化渣、尾矿等</w:t>
                  </w:r>
                  <w:r>
                    <w:rPr>
                      <w:rFonts w:hint="eastAsia" w:cs="Times New Roman"/>
                      <w:color w:val="auto"/>
                      <w:kern w:val="2"/>
                      <w:sz w:val="21"/>
                      <w:szCs w:val="24"/>
                      <w:lang w:val="en-US" w:eastAsia="zh-CN" w:bidi="ar-SA"/>
                    </w:rPr>
                    <w:t>大工</w:t>
                  </w:r>
                  <w:r>
                    <w:rPr>
                      <w:rFonts w:hint="eastAsia" w:ascii="Times New Roman" w:hAnsi="Times New Roman" w:eastAsia="宋体" w:cs="Times New Roman"/>
                      <w:color w:val="auto"/>
                      <w:kern w:val="2"/>
                      <w:sz w:val="21"/>
                      <w:szCs w:val="24"/>
                      <w:lang w:val="en-US" w:eastAsia="zh-CN" w:bidi="ar-SA"/>
                    </w:rPr>
                    <w:t>业固废的高水平利用。</w:t>
                  </w:r>
                </w:p>
                <w:p w14:paraId="55368B5F">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9到2025年，地级以上城市污泥无害化处理处置率达到95%以上，其他市县达到80%以上。到2025年，新增大宗固体废物综合利用率达到60%，存量大宗固体废物有序减少。10鼓励煤矿采用煤矸石井下充填开采技术处置煤矸石，提高煤矸石利用率。鼓励金属矿山采取科学的开采方法和选矿工艺，加强尾矿资源的二次选矿，综合回收有益组分，合理利用矿山固体废弃物与尾矿，减少废渣、弃石、尾矿等的产生量和贮存量。加强水泥用灰岩、建筑石料等露天建材非金属矿内外剥离物的综合利用。11煤炭开采过程中产生的矿井水应当综合利用，优先用于矿区补充用水、周边地区生产生态用水，加强洗煤废水循环利用，提高矿井水综合利用率。</w:t>
                  </w:r>
                </w:p>
              </w:tc>
              <w:tc>
                <w:tcPr>
                  <w:tcW w:w="1670" w:type="dxa"/>
                </w:tcPr>
                <w:p w14:paraId="1A8DFAA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spacing w:val="0"/>
                      <w:position w:val="0"/>
                      <w:sz w:val="21"/>
                      <w:szCs w:val="21"/>
                      <w:lang w:val="en-US" w:eastAsia="zh-CN"/>
                    </w:rPr>
                    <w:t>本项目不涉及</w:t>
                  </w:r>
                  <w:r>
                    <w:rPr>
                      <w:rFonts w:hint="default" w:ascii="Times New Roman" w:hAnsi="Times New Roman" w:eastAsia="宋体" w:cs="Times New Roman"/>
                      <w:color w:val="auto"/>
                      <w:spacing w:val="0"/>
                      <w:position w:val="0"/>
                      <w:sz w:val="21"/>
                      <w:szCs w:val="21"/>
                    </w:rPr>
                    <w:t>资源开发效率要求</w:t>
                  </w:r>
                  <w:r>
                    <w:rPr>
                      <w:rFonts w:hint="eastAsia" w:ascii="Times New Roman" w:hAnsi="Times New Roman" w:eastAsia="宋体" w:cs="Times New Roman"/>
                      <w:color w:val="auto"/>
                      <w:spacing w:val="0"/>
                      <w:position w:val="0"/>
                      <w:sz w:val="21"/>
                      <w:szCs w:val="21"/>
                      <w:lang w:val="en-US" w:eastAsia="zh-CN"/>
                    </w:rPr>
                    <w:t>的内容。</w:t>
                  </w:r>
                </w:p>
              </w:tc>
              <w:tc>
                <w:tcPr>
                  <w:tcW w:w="556" w:type="dxa"/>
                </w:tcPr>
                <w:p w14:paraId="5CABEACA">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eastAsia="宋体"/>
                      <w:b/>
                      <w:bCs/>
                      <w:color w:val="auto"/>
                      <w:vertAlign w:val="baseline"/>
                      <w:lang w:val="en-US" w:eastAsia="zh-CN"/>
                    </w:rPr>
                  </w:pPr>
                  <w:r>
                    <w:rPr>
                      <w:rFonts w:hint="eastAsia" w:ascii="Times New Roman" w:hAnsi="Times New Roman" w:eastAsia="宋体" w:cs="Times New Roman"/>
                      <w:color w:val="auto"/>
                      <w:spacing w:val="0"/>
                      <w:position w:val="0"/>
                      <w:sz w:val="21"/>
                      <w:szCs w:val="21"/>
                      <w:lang w:val="en-US" w:eastAsia="zh-CN"/>
                    </w:rPr>
                    <w:t>符合</w:t>
                  </w:r>
                </w:p>
              </w:tc>
            </w:tr>
            <w:tr w14:paraId="32A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top"/>
                </w:tcPr>
                <w:p w14:paraId="547C60A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p w14:paraId="690039D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p>
              </w:tc>
              <w:tc>
                <w:tcPr>
                  <w:tcW w:w="330" w:type="dxa"/>
                  <w:vAlign w:val="top"/>
                </w:tcPr>
                <w:p w14:paraId="79640F9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p w14:paraId="5DA3656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w:t>
                  </w:r>
                </w:p>
              </w:tc>
              <w:tc>
                <w:tcPr>
                  <w:tcW w:w="390" w:type="dxa"/>
                  <w:vAlign w:val="top"/>
                </w:tcPr>
                <w:p w14:paraId="79090FFA">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p w14:paraId="58D968D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关中地区</w:t>
                  </w:r>
                </w:p>
              </w:tc>
              <w:tc>
                <w:tcPr>
                  <w:tcW w:w="540" w:type="dxa"/>
                  <w:vAlign w:val="top"/>
                </w:tcPr>
                <w:p w14:paraId="0D33153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p w14:paraId="39F96E1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陕西省</w:t>
                  </w:r>
                </w:p>
              </w:tc>
              <w:tc>
                <w:tcPr>
                  <w:tcW w:w="390" w:type="dxa"/>
                  <w:vAlign w:val="top"/>
                </w:tcPr>
                <w:p w14:paraId="70E88A7F">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p w14:paraId="52C38D9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空间布局约束</w:t>
                  </w:r>
                </w:p>
              </w:tc>
              <w:tc>
                <w:tcPr>
                  <w:tcW w:w="3550" w:type="dxa"/>
                  <w:vAlign w:val="center"/>
                </w:tcPr>
                <w:p w14:paraId="2C9EF27B">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执行国家及地方法律法规、规章对国家公园、自然保护区、风景名胜区、世界自然和文化遗产、饮用水水源保护区、生态保护红线、自然公园（森林公园、湿地公园、地质公园、沙漠公园等）、水产种质资源保护区、重要湿地、国家级公益林等保护区域的禁止性和限制性要求。</w:t>
                  </w:r>
                </w:p>
                <w:p w14:paraId="50E0A19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2关中地区严格控制新建、扩建化学制浆造纸、化工、印染、果汁和淀粉加工等高耗水、高污染项目。</w:t>
                  </w:r>
                </w:p>
                <w:p w14:paraId="370A8260">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3关中地区严禁新增煤电（含自备电厂）装机规模。关中地区严禁新增钢铁、焦化、水泥熟料、平板玻璃、电解铝、氧化铝、煤化工产能，合理控制煤制油气产能规模，严控新增炼油产能。</w:t>
                  </w:r>
                </w:p>
                <w:p w14:paraId="073BC2A0">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4禁止在黄河干支流岸线管控范围内新建、扩建化工园区和化工项目。禁止在黄河干流岸线和重要支流岸线的管控范围内新建、改建、扩建尾矿库；但是以提升安全水平、生态环境保护水平为目的的改建除外。</w:t>
                  </w:r>
                </w:p>
                <w:p w14:paraId="7807ABB0">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5禁止在黄河流域水土流失严重、生态脆弱区域开展可能造成水土流失的生产建设活动。</w:t>
                  </w:r>
                </w:p>
                <w:p w14:paraId="52A3686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6调整产业结构，继续淘汰严重污染水体的落后产能，推动沿黄一定范围内高耗水、高污染企业迁入合规园区，严禁在黄河干流及主要支流临岸一定范围内新建“两高一资”项目及相关产业园区。</w:t>
                  </w:r>
                </w:p>
                <w:p w14:paraId="4DB75F8A">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7严控新增高污染、高耗能、高排放、高耗水企业，严格执行钢铁、水泥、平板玻璃、电解铝等行业产能置换政策，严控磷铵、黄磷、电石等行业新增产能。禁止在黄河干支流岸线限定范围内新建、扩建化工园区和化工项目。严禁“挖湖造景”等不合理用水需求。</w:t>
                  </w:r>
                </w:p>
                <w:p w14:paraId="18B1254F">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8渭河生态区一级管控区、二级管控区内禁止新建、扩建化工园区和化工项目；采石、挖砂等影响生态环境的活动；禁止建设畜禽水产养殖场、养殖小区。</w:t>
                  </w:r>
                </w:p>
                <w:p w14:paraId="32F0B75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9“渭南片区”包括韩城、合阳、大荔、潼关四个县（市），在该片区禁止新建扩建不符合产业政策、不能执行清洁生产的项目；禁止新建20蒸吨以下燃煤锅炉；禁止销售和使用不符合标准的煤炭。</w:t>
                  </w:r>
                </w:p>
                <w:p w14:paraId="68210B4B">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10禁止在长江流域重点生态功能区布局对生态系统有严重影响的产业。禁止重污染企业和项目向长江中上游转移。</w:t>
                  </w:r>
                </w:p>
                <w:p w14:paraId="1771C74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11禁止在长江干支流岸线一公里范围内新建、扩建化工园区和化工项目。禁止在长江重要支流（嘉陵江）岸线一公里范围内新建、改建、扩建尾矿库；但是以提升安全、生态环境保护水平为目的的改建除外。</w:t>
                  </w:r>
                </w:p>
                <w:p w14:paraId="0720BE5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12禁止在长江流域水土流失严重、生态脆弱的区域开展可能造成水土流失的生产建设活动。</w:t>
                  </w:r>
                </w:p>
                <w:p w14:paraId="15DB853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13禁止在汉江丹江干流、重要支流岸线1公里范围内新（改、扩）建尾矿库，但是以提升安全、生态环境保护水平为目的的改建除外。严格控制新建独立选矿厂尾矿库，严格控制尾矿库加高扩容。严禁新建“头顶库”、总坝高超过200米的尾矿库，新建的四等、五等尾矿库须采用一次建坝方式。</w:t>
                  </w:r>
                </w:p>
                <w:p w14:paraId="69C90C5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14禁止在核心保护区、重点保护区勘探、开发矿产资源和开山采石，禁止在秦岭主梁以北的秦岭范围内开山采石。已取得矿业权的企业和现有采石企业，由县级以上人民政府依法组织限期退出。</w:t>
                  </w:r>
                </w:p>
                <w:p w14:paraId="555C1E2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15秦岭范围内项目，在符合《陕西省秦岭生态环境保护条例》《陕西省秦岭生态环境保护总体规划》和省级专项规划等前提下，执行《陕西省秦岭重点保护区一般保护区产业准入清单》。</w:t>
                  </w:r>
                </w:p>
              </w:tc>
              <w:tc>
                <w:tcPr>
                  <w:tcW w:w="1670" w:type="dxa"/>
                </w:tcPr>
                <w:p w14:paraId="3D3B7D5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项目位于陕西省周至县老县城国家级自然保护区内，项目类别为127.防洪治涝工程，属于</w:t>
                  </w:r>
                  <w:r>
                    <w:rPr>
                      <w:rFonts w:hint="default" w:ascii="Times New Roman" w:hAnsi="Times New Roman" w:eastAsia="宋体" w:cs="Times New Roman"/>
                      <w:color w:val="auto"/>
                      <w:kern w:val="2"/>
                      <w:sz w:val="21"/>
                      <w:szCs w:val="24"/>
                      <w:lang w:val="en-US" w:eastAsia="zh-CN" w:bidi="ar-SA"/>
                    </w:rPr>
                    <w:t>其保护功能相符的开发建设活动</w:t>
                  </w:r>
                  <w:r>
                    <w:rPr>
                      <w:rFonts w:hint="eastAsia" w:ascii="Times New Roman" w:hAnsi="Times New Roman" w:eastAsia="宋体" w:cs="Times New Roman"/>
                      <w:color w:val="auto"/>
                      <w:kern w:val="2"/>
                      <w:sz w:val="21"/>
                      <w:szCs w:val="24"/>
                      <w:lang w:val="en-US" w:eastAsia="zh-CN" w:bidi="ar-SA"/>
                    </w:rPr>
                    <w:t>，</w:t>
                  </w:r>
                  <w:r>
                    <w:rPr>
                      <w:rFonts w:hint="default" w:ascii="Times New Roman" w:hAnsi="Times New Roman" w:eastAsia="宋体" w:cs="Times New Roman"/>
                      <w:color w:val="auto"/>
                      <w:kern w:val="2"/>
                      <w:sz w:val="21"/>
                      <w:szCs w:val="24"/>
                      <w:lang w:val="en-US" w:eastAsia="zh-CN" w:bidi="ar-SA"/>
                    </w:rPr>
                    <w:t>符合秦岭生态环境保护规划，</w:t>
                  </w:r>
                  <w:r>
                    <w:rPr>
                      <w:rFonts w:hint="eastAsia" w:ascii="Times New Roman" w:hAnsi="Times New Roman" w:eastAsia="宋体" w:cs="Times New Roman"/>
                      <w:color w:val="auto"/>
                      <w:kern w:val="2"/>
                      <w:sz w:val="21"/>
                      <w:szCs w:val="24"/>
                      <w:lang w:val="en-US" w:eastAsia="zh-CN" w:bidi="ar-SA"/>
                    </w:rPr>
                    <w:t>并</w:t>
                  </w:r>
                  <w:r>
                    <w:rPr>
                      <w:rFonts w:hint="default" w:ascii="Times New Roman" w:hAnsi="Times New Roman" w:eastAsia="宋体" w:cs="Times New Roman"/>
                      <w:color w:val="auto"/>
                      <w:kern w:val="2"/>
                      <w:sz w:val="21"/>
                      <w:szCs w:val="24"/>
                      <w:lang w:val="en-US" w:eastAsia="zh-CN" w:bidi="ar-SA"/>
                    </w:rPr>
                    <w:t>依法采取相应生态环境保护措施，保证秦岭生态功能不降低</w:t>
                  </w:r>
                  <w:r>
                    <w:rPr>
                      <w:rFonts w:hint="eastAsia" w:ascii="Times New Roman" w:hAnsi="Times New Roman" w:eastAsia="宋体" w:cs="Times New Roman"/>
                      <w:color w:val="auto"/>
                      <w:kern w:val="2"/>
                      <w:sz w:val="21"/>
                      <w:szCs w:val="24"/>
                      <w:lang w:val="en-US" w:eastAsia="zh-CN" w:bidi="ar-SA"/>
                    </w:rPr>
                    <w:t>。</w:t>
                  </w:r>
                </w:p>
              </w:tc>
              <w:tc>
                <w:tcPr>
                  <w:tcW w:w="556" w:type="dxa"/>
                </w:tcPr>
                <w:p w14:paraId="0EE9475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eastAsia="宋体"/>
                      <w:b/>
                      <w:bCs/>
                      <w:color w:val="auto"/>
                      <w:vertAlign w:val="baseline"/>
                      <w:lang w:val="en-US" w:eastAsia="zh-CN"/>
                    </w:rPr>
                  </w:pPr>
                  <w:r>
                    <w:rPr>
                      <w:rFonts w:hint="eastAsia" w:ascii="Times New Roman" w:hAnsi="Times New Roman" w:eastAsia="宋体" w:cs="Times New Roman"/>
                      <w:color w:val="auto"/>
                      <w:kern w:val="2"/>
                      <w:sz w:val="21"/>
                      <w:szCs w:val="24"/>
                      <w:lang w:val="en-US" w:eastAsia="zh-CN" w:bidi="ar-SA"/>
                    </w:rPr>
                    <w:t>符合</w:t>
                  </w:r>
                </w:p>
              </w:tc>
            </w:tr>
            <w:tr w14:paraId="4705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top"/>
                </w:tcPr>
                <w:p w14:paraId="048DA41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30" w:type="dxa"/>
                  <w:vAlign w:val="top"/>
                </w:tcPr>
                <w:p w14:paraId="5784F8A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4123429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540" w:type="dxa"/>
                  <w:vAlign w:val="top"/>
                </w:tcPr>
                <w:p w14:paraId="7327E97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1D7760A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污染物排放管控</w:t>
                  </w:r>
                </w:p>
              </w:tc>
              <w:tc>
                <w:tcPr>
                  <w:tcW w:w="3550" w:type="dxa"/>
                  <w:vAlign w:val="center"/>
                </w:tcPr>
                <w:p w14:paraId="14C68B7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1在关中涉重金属产业分布集中、重金属环境问题突出的区域、流域，新（改、扩）建涉重金属重点行业建设项目实施“等量替代”或“减量替代”。</w:t>
                  </w:r>
                </w:p>
                <w:p w14:paraId="6FAC259F">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2关中地区基本完成农业种养殖业及农副产品加工业燃煤设施清洁能源替代。关中地区巩固燃煤锅炉拆改成效、燃气锅炉低氮改造成果。</w:t>
                  </w:r>
                </w:p>
                <w:p w14:paraId="43B0448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3关中地区市辖区及开发区范围内新、改、扩建涉气重点行业企业应达到环保绩效A级、绩效引领性水平，西安市、咸阳市、渭南市的其他区域应达到环保绩效B级以上水平。</w:t>
                  </w:r>
                </w:p>
                <w:p w14:paraId="1F4D751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散煤治理工程。2025年底前，西安市、咸阳市、渭南市平原地区清洁取暖率稳定达到98%。推动关中平原地区散煤动态清零，山区可采用洁净煤或生物质成型燃料+专用炉具兜底，确保居民可承受、效果可持续。2025年底前，关中地区完成陶瓷、玻璃、石灰、耐火材料、有色、无机化工、矿物棉、铸造、砖瓦窑等行业炉窑清洁能源替代。</w:t>
                  </w:r>
                </w:p>
                <w:p w14:paraId="1A2CE5F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5西安市、咸阳市、渭南市在2025年底前完成渣土车、商混车新能源或国六排放标准车辆替代，国五及以下排放标准柴油渣土车逐步淘汰出渣土清运行业。</w:t>
                  </w:r>
                </w:p>
                <w:p w14:paraId="1146249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6关中各城市降尘量不高于6吨/月·平方公里，西安市、咸阳市、渭南市不高于5吨/月·平方公里。</w:t>
                  </w:r>
                </w:p>
                <w:p w14:paraId="5FAE469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72023年底前，关中地区钢铁企业完成超低排放改造。2025年底前，80%左右水泥熟料产能和60%左右独立粉磨站完成超低排放改造，西安市、咸阳市、渭南市全面完成改造，其他地区2027年底前全部完成。</w:t>
                  </w:r>
                </w:p>
                <w:p w14:paraId="59BB6F6D">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8关中各市（区）市辖区及开发区内达不到依据《高耗能行业重点领域能效标杆水平和基准水平》确定的基准水平的企业，2025年底前未完成改造的由当地政府组织淘汰退出。</w:t>
                  </w:r>
                </w:p>
                <w:p w14:paraId="653B17D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92023年起，在矿产资源开发利用集中区域、安全利用类和严格管控类耕地集中区涉及的县（区），执行《铅、锌工业污染物排放标准》《铜、镍、钴工业污染物排放标准》《无机化学工业污染物排放标准》中颗粒物和镉等重点重金属特别排放限值。</w:t>
                  </w:r>
                </w:p>
              </w:tc>
              <w:tc>
                <w:tcPr>
                  <w:tcW w:w="1670" w:type="dxa"/>
                </w:tcPr>
                <w:p w14:paraId="416CD3A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本项目属于防洪除涝类工程，位于水源地保护区范围内，项目施工期废水均合理处置，对保护区功能没有造成损害，且项目运行期无污染，不存在环境限制性因素。施工期间</w:t>
                  </w:r>
                  <w:r>
                    <w:rPr>
                      <w:rFonts w:hint="default" w:ascii="Times New Roman" w:hAnsi="Times New Roman" w:eastAsia="宋体" w:cs="Times New Roman"/>
                      <w:color w:val="auto"/>
                      <w:spacing w:val="0"/>
                      <w:position w:val="0"/>
                      <w:sz w:val="21"/>
                      <w:szCs w:val="21"/>
                      <w:lang w:val="en-US" w:eastAsia="zh-CN"/>
                    </w:rPr>
                    <w:t>项目</w:t>
                  </w:r>
                  <w:r>
                    <w:rPr>
                      <w:rFonts w:hint="eastAsia" w:ascii="Times New Roman" w:hAnsi="Times New Roman" w:eastAsia="宋体" w:cs="Times New Roman"/>
                      <w:color w:val="auto"/>
                      <w:spacing w:val="0"/>
                      <w:position w:val="0"/>
                      <w:sz w:val="21"/>
                      <w:szCs w:val="21"/>
                      <w:lang w:val="en-US" w:eastAsia="zh-CN"/>
                    </w:rPr>
                    <w:t>不涉及</w:t>
                  </w:r>
                  <w:r>
                    <w:rPr>
                      <w:rFonts w:hint="default" w:ascii="Times New Roman" w:hAnsi="Times New Roman" w:eastAsia="宋体" w:cs="Times New Roman"/>
                      <w:color w:val="auto"/>
                      <w:spacing w:val="0"/>
                      <w:position w:val="0"/>
                      <w:sz w:val="21"/>
                      <w:szCs w:val="21"/>
                    </w:rPr>
                    <w:t>环境风险防控</w:t>
                  </w:r>
                  <w:r>
                    <w:rPr>
                      <w:rFonts w:hint="eastAsia" w:ascii="Times New Roman" w:hAnsi="Times New Roman" w:eastAsia="宋体" w:cs="Times New Roman"/>
                      <w:color w:val="auto"/>
                      <w:spacing w:val="0"/>
                      <w:position w:val="0"/>
                      <w:sz w:val="21"/>
                      <w:szCs w:val="21"/>
                      <w:lang w:val="en-US" w:eastAsia="zh-CN"/>
                    </w:rPr>
                    <w:t>要求内容。</w:t>
                  </w:r>
                </w:p>
              </w:tc>
              <w:tc>
                <w:tcPr>
                  <w:tcW w:w="556" w:type="dxa"/>
                </w:tcPr>
                <w:p w14:paraId="3810A8F9">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符合</w:t>
                  </w:r>
                </w:p>
              </w:tc>
            </w:tr>
            <w:tr w14:paraId="07BE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top"/>
                </w:tcPr>
                <w:p w14:paraId="1274512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30" w:type="dxa"/>
                  <w:vAlign w:val="top"/>
                </w:tcPr>
                <w:p w14:paraId="1BB03738">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60399365">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540" w:type="dxa"/>
                  <w:vAlign w:val="top"/>
                </w:tcPr>
                <w:p w14:paraId="6F1E2801">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3BC91A58">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环境风险防控</w:t>
                  </w:r>
                </w:p>
              </w:tc>
              <w:tc>
                <w:tcPr>
                  <w:tcW w:w="3550" w:type="dxa"/>
                  <w:vAlign w:val="center"/>
                </w:tcPr>
                <w:p w14:paraId="2C6DB638">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1健全流域水污染、危险废物环境风险联防联控机制。</w:t>
                  </w:r>
                </w:p>
              </w:tc>
              <w:tc>
                <w:tcPr>
                  <w:tcW w:w="1670" w:type="dxa"/>
                </w:tcPr>
                <w:p w14:paraId="232C877E">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本项目施工期建立沉淀池，生产废水沉淀后回用，不外排，建立临时</w:t>
                  </w:r>
                  <w:r>
                    <w:rPr>
                      <w:rFonts w:hint="eastAsia" w:cs="Times New Roman"/>
                      <w:color w:val="auto"/>
                      <w:kern w:val="2"/>
                      <w:sz w:val="21"/>
                      <w:szCs w:val="24"/>
                      <w:lang w:val="en-US" w:eastAsia="zh-CN" w:bidi="ar-SA"/>
                    </w:rPr>
                    <w:t>化粪池</w:t>
                  </w:r>
                  <w:r>
                    <w:rPr>
                      <w:rFonts w:hint="eastAsia" w:ascii="Times New Roman" w:hAnsi="Times New Roman" w:eastAsia="宋体" w:cs="Times New Roman"/>
                      <w:color w:val="auto"/>
                      <w:kern w:val="2"/>
                      <w:sz w:val="21"/>
                      <w:szCs w:val="24"/>
                      <w:lang w:val="en-US" w:eastAsia="zh-CN" w:bidi="ar-SA"/>
                    </w:rPr>
                    <w:t>，由附近村民定期清掏，外运肥田。</w:t>
                  </w:r>
                </w:p>
              </w:tc>
              <w:tc>
                <w:tcPr>
                  <w:tcW w:w="556" w:type="dxa"/>
                </w:tcPr>
                <w:p w14:paraId="62E6CDF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符合</w:t>
                  </w:r>
                </w:p>
              </w:tc>
            </w:tr>
            <w:tr w14:paraId="60AC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dxa"/>
                  <w:vAlign w:val="top"/>
                </w:tcPr>
                <w:p w14:paraId="3F92102F">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30" w:type="dxa"/>
                  <w:vAlign w:val="top"/>
                </w:tcPr>
                <w:p w14:paraId="6031A7C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3A74490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540" w:type="dxa"/>
                  <w:vAlign w:val="top"/>
                </w:tcPr>
                <w:p w14:paraId="405FECC7">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p>
              </w:tc>
              <w:tc>
                <w:tcPr>
                  <w:tcW w:w="390" w:type="dxa"/>
                  <w:vAlign w:val="top"/>
                </w:tcPr>
                <w:p w14:paraId="7FF71B4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资源开发效率要求</w:t>
                  </w:r>
                </w:p>
              </w:tc>
              <w:tc>
                <w:tcPr>
                  <w:tcW w:w="3550" w:type="dxa"/>
                  <w:vAlign w:val="center"/>
                </w:tcPr>
                <w:p w14:paraId="5817D136">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1关中地级城市再生水利用率达25%以上。</w:t>
                  </w:r>
                </w:p>
                <w:p w14:paraId="3DD73394">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2对西安、咸阳、渭南三市的11个</w:t>
                  </w:r>
                  <w:r>
                    <w:rPr>
                      <w:rFonts w:hint="eastAsia" w:cs="Times New Roman"/>
                      <w:color w:val="auto"/>
                      <w:kern w:val="2"/>
                      <w:sz w:val="21"/>
                      <w:szCs w:val="24"/>
                      <w:lang w:val="en-US" w:eastAsia="zh-CN" w:bidi="ar-SA"/>
                    </w:rPr>
                    <w:t>地下水超采</w:t>
                  </w:r>
                  <w:r>
                    <w:rPr>
                      <w:rFonts w:hint="eastAsia" w:ascii="Times New Roman" w:hAnsi="Times New Roman" w:eastAsia="宋体" w:cs="Times New Roman"/>
                      <w:color w:val="auto"/>
                      <w:kern w:val="2"/>
                      <w:sz w:val="21"/>
                      <w:szCs w:val="24"/>
                      <w:lang w:val="en-US" w:eastAsia="zh-CN" w:bidi="ar-SA"/>
                    </w:rPr>
                    <w:t>区暂停新增取水许可，加强节约用水、水资源置换、产业结构调整等措施，加快推进超载区综合治理。</w:t>
                  </w:r>
                </w:p>
                <w:p w14:paraId="6CCED52C">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3西安市、咸阳市、渭南市依法将平原区划定为Ⅲ类高污染燃料禁燃区，禁止销售，使用高污染燃料（35蒸吨及以上锅炉、火力发电企业机组除外）。</w:t>
                  </w:r>
                </w:p>
                <w:p w14:paraId="050C0132">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4关中地区2025年秸秆综合利用率达到96％左右，西安市、咸阳市、渭南市达到97％以上。</w:t>
                  </w:r>
                </w:p>
              </w:tc>
              <w:tc>
                <w:tcPr>
                  <w:tcW w:w="1670" w:type="dxa"/>
                </w:tcPr>
                <w:p w14:paraId="3FDD0D33">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cs="Times New Roman"/>
                      <w:color w:val="auto"/>
                      <w:kern w:val="2"/>
                      <w:sz w:val="21"/>
                      <w:szCs w:val="24"/>
                      <w:lang w:val="en-US" w:eastAsia="zh-CN" w:bidi="ar-SA"/>
                    </w:rPr>
                  </w:pPr>
                  <w:r>
                    <w:rPr>
                      <w:rFonts w:hint="eastAsia" w:cs="Times New Roman"/>
                      <w:color w:val="auto"/>
                      <w:kern w:val="2"/>
                      <w:sz w:val="21"/>
                      <w:szCs w:val="24"/>
                      <w:lang w:val="en-US" w:eastAsia="zh-CN" w:bidi="ar-SA"/>
                    </w:rPr>
                    <w:t>本项目不涉及资源开发利用。</w:t>
                  </w:r>
                </w:p>
              </w:tc>
              <w:tc>
                <w:tcPr>
                  <w:tcW w:w="556" w:type="dxa"/>
                </w:tcPr>
                <w:p w14:paraId="6C338A10">
                  <w:pPr>
                    <w:pStyle w:val="3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符合</w:t>
                  </w:r>
                </w:p>
              </w:tc>
            </w:tr>
          </w:tbl>
          <w:p w14:paraId="03F1646F">
            <w:pPr>
              <w:pStyle w:val="37"/>
              <w:ind w:left="0" w:leftChars="0"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3、建设项目与相关生态环境保护法律法规政策符合性分析</w:t>
            </w:r>
          </w:p>
          <w:p w14:paraId="12408FE9">
            <w:pPr>
              <w:pStyle w:val="37"/>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（1）项目与《陕西省秦岭生态环境保护条例》相符性分析</w:t>
            </w:r>
          </w:p>
          <w:p w14:paraId="3454C836">
            <w:pPr>
              <w:pStyle w:val="37"/>
              <w:ind w:firstLine="480"/>
              <w:rPr>
                <w:rFonts w:hint="eastAsia"/>
                <w:color w:val="auto"/>
              </w:rPr>
            </w:pPr>
            <w:r>
              <w:rPr>
                <w:rFonts w:hint="eastAsia" w:ascii="Times New Roman" w:hAnsi="Times New Roman" w:eastAsia="宋体" w:cs="Times New Roman"/>
                <w:color w:val="auto"/>
              </w:rPr>
              <w:t>根据《陕西省秦岭生态环境保护条例》，第十五条：“在秦岭</w:t>
            </w:r>
            <w:r>
              <w:rPr>
                <w:rFonts w:hint="eastAsia"/>
                <w:color w:val="auto"/>
              </w:rPr>
              <w:t>生态环境保护范围内进行自然资源保护、利用、开发等活动适用本条例。本条例所称秦岭生态环境保护范围（以下简称秦岭范围），是指本省行政区域内秦岭山体东西以省界为界、南北以秦岭山体坡底为界的区域，包括商洛市全部行政区域以及西安市、宝鸡市、渭南市、汉中市、安康市的部分行政区域。”</w:t>
            </w:r>
          </w:p>
          <w:p w14:paraId="1B278FC6">
            <w:pPr>
              <w:pStyle w:val="37"/>
              <w:ind w:firstLine="480"/>
              <w:rPr>
                <w:rFonts w:hint="eastAsia" w:eastAsia="宋体"/>
                <w:color w:val="auto"/>
                <w:lang w:eastAsia="zh-CN"/>
              </w:rPr>
            </w:pPr>
            <w:r>
              <w:rPr>
                <w:rFonts w:hint="eastAsia"/>
                <w:color w:val="auto"/>
              </w:rPr>
              <w:t>重点保护区内生物多样性集中，原始森林和野生珍稀动植物资源丰富，是自然保护区、森林公园、风景名胜区等各类保护区集中区，也是国家南水北调中线工程和黄河流域渭河水系的主要水源涵养区，自然生态环境容易遭受破坏，对于秦岭科学保护和合理利用十分关键。除《条例》另有规定外，重点保护区不得进行与其保护功能不相符的开发建设活动，依法禁止房地产开发，禁止新建水电站，禁止新建、扩建、异地重建宗教活动场所，禁止勘探、开发矿产资源和开山采石，严格执行重点保护区产业准入清单制度。法律、行政法规对重点保护区管理有相关规定的，依照相关规定执行</w:t>
            </w:r>
            <w:r>
              <w:rPr>
                <w:rFonts w:hint="eastAsia"/>
                <w:color w:val="auto"/>
                <w:lang w:eastAsia="zh-CN"/>
              </w:rPr>
              <w:t>。</w:t>
            </w:r>
          </w:p>
          <w:p w14:paraId="7BECF726">
            <w:pPr>
              <w:pStyle w:val="37"/>
              <w:ind w:firstLine="480"/>
              <w:rPr>
                <w:color w:val="auto"/>
              </w:rPr>
            </w:pPr>
            <w:r>
              <w:rPr>
                <w:rFonts w:hint="eastAsia"/>
                <w:color w:val="auto"/>
              </w:rPr>
              <w:t>本工程治理范围为</w:t>
            </w:r>
            <w:r>
              <w:rPr>
                <w:rFonts w:hint="eastAsia"/>
                <w:color w:val="auto"/>
                <w:lang w:eastAsia="zh-CN"/>
              </w:rPr>
              <w:t>湑水河老县城村段</w:t>
            </w:r>
            <w:r>
              <w:rPr>
                <w:rFonts w:hint="eastAsia"/>
                <w:color w:val="auto"/>
              </w:rPr>
              <w:t>，</w:t>
            </w:r>
            <w:r>
              <w:rPr>
                <w:rFonts w:hint="eastAsia"/>
                <w:color w:val="auto"/>
                <w:lang w:val="en-US" w:eastAsia="zh-CN"/>
              </w:rPr>
              <w:t>位于秦岭</w:t>
            </w:r>
            <w:r>
              <w:rPr>
                <w:rFonts w:hint="eastAsia"/>
                <w:color w:val="auto"/>
              </w:rPr>
              <w:t>重点保护区范围，且本</w:t>
            </w:r>
            <w:r>
              <w:rPr>
                <w:rFonts w:hint="eastAsia"/>
                <w:color w:val="auto"/>
                <w:lang w:val="en-US" w:eastAsia="zh-CN"/>
              </w:rPr>
              <w:t>项目为</w:t>
            </w:r>
            <w:r>
              <w:rPr>
                <w:rFonts w:hint="eastAsia"/>
                <w:color w:val="auto"/>
                <w:sz w:val="24"/>
              </w:rPr>
              <w:t>防洪治涝工程</w:t>
            </w:r>
            <w:r>
              <w:rPr>
                <w:rFonts w:hint="eastAsia"/>
                <w:color w:val="auto"/>
                <w:sz w:val="24"/>
                <w:lang w:eastAsia="zh-CN"/>
              </w:rPr>
              <w:t>，</w:t>
            </w:r>
            <w:r>
              <w:rPr>
                <w:rFonts w:hint="eastAsia"/>
                <w:color w:val="auto"/>
                <w:sz w:val="24"/>
                <w:lang w:val="en-US" w:eastAsia="zh-CN"/>
              </w:rPr>
              <w:t>属于水利类项目，</w:t>
            </w:r>
            <w:r>
              <w:rPr>
                <w:rFonts w:hint="eastAsia"/>
                <w:color w:val="auto"/>
              </w:rPr>
              <w:t>符合《陕西省秦岭生态环境保护条例》。</w:t>
            </w:r>
          </w:p>
          <w:p w14:paraId="0D394EA4">
            <w:pPr>
              <w:pStyle w:val="37"/>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（2）项目与《西安市秦岭生态环境保护条例》符合性</w:t>
            </w:r>
          </w:p>
          <w:p w14:paraId="56248E4D">
            <w:pPr>
              <w:pStyle w:val="37"/>
              <w:ind w:firstLine="480"/>
              <w:rPr>
                <w:color w:val="auto"/>
              </w:rPr>
            </w:pPr>
            <w:r>
              <w:rPr>
                <w:rFonts w:hint="eastAsia"/>
                <w:color w:val="auto"/>
              </w:rPr>
              <w:t>根据《西安市秦岭生态环境保护条例》，第二条：“本市行政区域内秦岭生态环境保护和其他与秦岭生态环境保护有关的活动适用本条例。本市秦岭生态环境保护范围（以下简称秦岭范围）和秦岭范围外围划定的建设控制地带，由秦岭生态环境保护规划确定，以市人民政府公布的四至界限为准。”</w:t>
            </w:r>
          </w:p>
          <w:p w14:paraId="161DAD15">
            <w:pPr>
              <w:pStyle w:val="37"/>
              <w:ind w:firstLine="480"/>
              <w:rPr>
                <w:color w:val="auto"/>
              </w:rPr>
            </w:pPr>
            <w:r>
              <w:rPr>
                <w:rFonts w:hint="eastAsia"/>
                <w:color w:val="auto"/>
              </w:rPr>
              <w:t>本工程治理范围为</w:t>
            </w:r>
            <w:r>
              <w:rPr>
                <w:rFonts w:hint="eastAsia"/>
                <w:color w:val="auto"/>
                <w:lang w:eastAsia="zh-CN"/>
              </w:rPr>
              <w:t>湑水河老县城村段</w:t>
            </w:r>
            <w:r>
              <w:rPr>
                <w:rFonts w:hint="eastAsia"/>
                <w:color w:val="auto"/>
              </w:rPr>
              <w:t>，</w:t>
            </w:r>
            <w:r>
              <w:rPr>
                <w:rFonts w:hint="eastAsia"/>
                <w:color w:val="auto"/>
                <w:lang w:val="en-US" w:eastAsia="zh-CN"/>
              </w:rPr>
              <w:t>位于秦岭</w:t>
            </w:r>
            <w:r>
              <w:rPr>
                <w:rFonts w:hint="eastAsia"/>
                <w:color w:val="auto"/>
              </w:rPr>
              <w:t>重点保护区范围，且本</w:t>
            </w:r>
            <w:r>
              <w:rPr>
                <w:rFonts w:hint="eastAsia"/>
                <w:color w:val="auto"/>
                <w:lang w:val="en-US" w:eastAsia="zh-CN"/>
              </w:rPr>
              <w:t>项目为</w:t>
            </w:r>
            <w:r>
              <w:rPr>
                <w:rFonts w:hint="eastAsia"/>
                <w:color w:val="auto"/>
                <w:sz w:val="24"/>
              </w:rPr>
              <w:t>防洪治涝工程</w:t>
            </w:r>
            <w:r>
              <w:rPr>
                <w:rFonts w:hint="eastAsia"/>
                <w:color w:val="auto"/>
                <w:sz w:val="24"/>
                <w:lang w:eastAsia="zh-CN"/>
              </w:rPr>
              <w:t>，</w:t>
            </w:r>
            <w:r>
              <w:rPr>
                <w:rFonts w:hint="eastAsia"/>
                <w:color w:val="auto"/>
                <w:sz w:val="24"/>
                <w:lang w:val="en-US" w:eastAsia="zh-CN"/>
              </w:rPr>
              <w:t>属水利类项目，</w:t>
            </w:r>
            <w:r>
              <w:rPr>
                <w:rFonts w:hint="eastAsia"/>
                <w:color w:val="auto"/>
              </w:rPr>
              <w:t>符合《西安市秦岭生态环境保护条例》的相关要求。</w:t>
            </w:r>
          </w:p>
          <w:p w14:paraId="523D7390">
            <w:pPr>
              <w:pStyle w:val="37"/>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（3）项目与陕西省生态环境厅《关于加强部分涉水生态类项目环境影响评价管理工作的通知》相符性分析</w:t>
            </w:r>
          </w:p>
          <w:p w14:paraId="45EA5587">
            <w:pPr>
              <w:pStyle w:val="37"/>
              <w:ind w:firstLine="480"/>
              <w:rPr>
                <w:color w:val="auto"/>
              </w:rPr>
            </w:pPr>
            <w:r>
              <w:rPr>
                <w:rFonts w:hint="eastAsia"/>
                <w:color w:val="auto"/>
              </w:rPr>
              <w:t>根据陕西省生态环境厅《关于加强部分涉水生态类项目环境影响评价管理工作的通知》（陕环发〔2019〕15号）第二条中（二）：“河湖整治与防洪除涝工程类项目，应满足流域综合治理规划、防洪规划、生态环境保护等相关规划及规划环评要求，不得巧立名目，在河道综合治理建设项目环评文件中搭车与治理无关的其他建设内容。确需建设滨河公园、湿地公园等的，应单独办理环评手续，以水环境保护为重点，全面分析论证项目建设的必要性和环境可行性，不得随意采取改变河道形态、建设橡胶坝等形式打造城市景观。”</w:t>
            </w:r>
          </w:p>
          <w:p w14:paraId="7D199E8B">
            <w:pPr>
              <w:pStyle w:val="37"/>
              <w:ind w:firstLine="480"/>
              <w:rPr>
                <w:color w:val="auto"/>
              </w:rPr>
            </w:pPr>
            <w:r>
              <w:rPr>
                <w:rFonts w:hint="eastAsia"/>
                <w:color w:val="auto"/>
              </w:rPr>
              <w:t>本项目为</w:t>
            </w:r>
            <w:r>
              <w:rPr>
                <w:rFonts w:hint="eastAsia"/>
                <w:color w:val="auto"/>
                <w:lang w:eastAsia="zh-CN"/>
              </w:rPr>
              <w:t>湑水河老县城村段防洪治理工程</w:t>
            </w:r>
            <w:r>
              <w:rPr>
                <w:rFonts w:hint="eastAsia"/>
                <w:color w:val="auto"/>
              </w:rPr>
              <w:t>，项目建设符合《陕西省“十四五”水利发展规划</w:t>
            </w:r>
            <w:r>
              <w:rPr>
                <w:rFonts w:hint="eastAsia"/>
                <w:color w:val="auto"/>
                <w:lang w:eastAsia="zh-CN"/>
              </w:rPr>
              <w:t>》《</w:t>
            </w:r>
            <w:r>
              <w:rPr>
                <w:rFonts w:hint="eastAsia"/>
                <w:color w:val="auto"/>
              </w:rPr>
              <w:t>渭河流域重点治理规划》等规划文件要求，项目建设内容不涉及滨河公园、湿地公园等，不属于巧立名目，未在河道综合治理建设项目环评文件中搭车与治理无关的其他建设项目。因此，本项目符合《关于加强部分涉水生态类项目环境影响评价管理工作的通知》中的相关要求。</w:t>
            </w:r>
          </w:p>
          <w:p w14:paraId="1EE3C4FF">
            <w:pPr>
              <w:pStyle w:val="37"/>
              <w:ind w:firstLine="482"/>
              <w:rPr>
                <w:b/>
                <w:bCs/>
                <w:color w:val="auto"/>
              </w:rPr>
            </w:pPr>
            <w:r>
              <w:rPr>
                <w:rFonts w:hint="eastAsia"/>
                <w:b/>
                <w:bCs/>
                <w:color w:val="auto"/>
              </w:rPr>
              <w:t>（4）项目建设与河道管理条例等文件符合性分析</w:t>
            </w:r>
          </w:p>
          <w:p w14:paraId="413D33C0">
            <w:pPr>
              <w:pStyle w:val="35"/>
              <w:rPr>
                <w:color w:val="auto"/>
              </w:rPr>
            </w:pPr>
            <w:r>
              <w:rPr>
                <w:rFonts w:hint="eastAsia"/>
                <w:color w:val="auto"/>
              </w:rPr>
              <w:t>表</w:t>
            </w:r>
            <w:r>
              <w:rPr>
                <w:rFonts w:hint="eastAsia"/>
                <w:color w:val="auto"/>
                <w:lang w:val="en-US" w:eastAsia="zh-CN"/>
              </w:rPr>
              <w:t xml:space="preserve">3   </w:t>
            </w:r>
            <w:r>
              <w:rPr>
                <w:rFonts w:hint="eastAsia"/>
                <w:color w:val="auto"/>
              </w:rPr>
              <w:t>项目建设与河道管理条例等文件符合性分析表</w:t>
            </w:r>
          </w:p>
          <w:tbl>
            <w:tblPr>
              <w:tblStyle w:val="18"/>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72"/>
              <w:gridCol w:w="3375"/>
              <w:gridCol w:w="2430"/>
              <w:gridCol w:w="711"/>
            </w:tblGrid>
            <w:tr w14:paraId="0ABBFDB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Align w:val="center"/>
                </w:tcPr>
                <w:p w14:paraId="40B2C162">
                  <w:pPr>
                    <w:pStyle w:val="28"/>
                    <w:rPr>
                      <w:b/>
                      <w:bCs/>
                      <w:color w:val="auto"/>
                    </w:rPr>
                  </w:pPr>
                  <w:r>
                    <w:rPr>
                      <w:rFonts w:hint="eastAsia"/>
                      <w:b/>
                      <w:bCs/>
                      <w:color w:val="auto"/>
                    </w:rPr>
                    <w:t>名称</w:t>
                  </w:r>
                </w:p>
              </w:tc>
              <w:tc>
                <w:tcPr>
                  <w:tcW w:w="2283" w:type="pct"/>
                  <w:vAlign w:val="center"/>
                </w:tcPr>
                <w:p w14:paraId="2E8B3ADE">
                  <w:pPr>
                    <w:pStyle w:val="28"/>
                    <w:rPr>
                      <w:b/>
                      <w:bCs/>
                      <w:color w:val="auto"/>
                    </w:rPr>
                  </w:pPr>
                  <w:r>
                    <w:rPr>
                      <w:rFonts w:hint="eastAsia"/>
                      <w:b/>
                      <w:bCs/>
                      <w:color w:val="auto"/>
                    </w:rPr>
                    <w:t>相关规定及要求</w:t>
                  </w:r>
                </w:p>
              </w:tc>
              <w:tc>
                <w:tcPr>
                  <w:tcW w:w="1644" w:type="pct"/>
                  <w:vAlign w:val="center"/>
                </w:tcPr>
                <w:p w14:paraId="36BB6BC6">
                  <w:pPr>
                    <w:pStyle w:val="28"/>
                    <w:rPr>
                      <w:b/>
                      <w:bCs/>
                      <w:color w:val="auto"/>
                    </w:rPr>
                  </w:pPr>
                  <w:r>
                    <w:rPr>
                      <w:rFonts w:hint="eastAsia"/>
                      <w:b/>
                      <w:bCs/>
                      <w:color w:val="auto"/>
                    </w:rPr>
                    <w:t>符合性分析</w:t>
                  </w:r>
                </w:p>
              </w:tc>
              <w:tc>
                <w:tcPr>
                  <w:tcW w:w="481" w:type="pct"/>
                  <w:vAlign w:val="center"/>
                </w:tcPr>
                <w:p w14:paraId="4A95DACB">
                  <w:pPr>
                    <w:pStyle w:val="28"/>
                    <w:rPr>
                      <w:b/>
                      <w:bCs/>
                      <w:color w:val="auto"/>
                    </w:rPr>
                  </w:pPr>
                  <w:r>
                    <w:rPr>
                      <w:rFonts w:hint="eastAsia"/>
                      <w:b/>
                      <w:bCs/>
                      <w:color w:val="auto"/>
                    </w:rPr>
                    <w:t>分析结果</w:t>
                  </w:r>
                </w:p>
              </w:tc>
            </w:tr>
            <w:tr w14:paraId="3FFE19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Merge w:val="restart"/>
                  <w:vAlign w:val="center"/>
                </w:tcPr>
                <w:p w14:paraId="2F0A7B45">
                  <w:pPr>
                    <w:pStyle w:val="28"/>
                    <w:rPr>
                      <w:color w:val="auto"/>
                    </w:rPr>
                  </w:pPr>
                  <w:r>
                    <w:rPr>
                      <w:rFonts w:hint="eastAsia"/>
                      <w:color w:val="auto"/>
                    </w:rPr>
                    <w:t>《陕西省河道管理条例》</w:t>
                  </w:r>
                </w:p>
              </w:tc>
              <w:tc>
                <w:tcPr>
                  <w:tcW w:w="2283" w:type="pct"/>
                  <w:vAlign w:val="center"/>
                </w:tcPr>
                <w:p w14:paraId="0841FEBF">
                  <w:pPr>
                    <w:pStyle w:val="28"/>
                    <w:jc w:val="both"/>
                    <w:rPr>
                      <w:bCs/>
                      <w:color w:val="auto"/>
                    </w:rPr>
                  </w:pPr>
                  <w:r>
                    <w:rPr>
                      <w:rFonts w:hint="eastAsia"/>
                      <w:bCs/>
                      <w:color w:val="auto"/>
                    </w:rPr>
                    <w:t>第二十一条在河道管理范围内禁止下列行为：</w:t>
                  </w:r>
                </w:p>
                <w:p w14:paraId="1C6C94D2">
                  <w:pPr>
                    <w:pStyle w:val="28"/>
                    <w:jc w:val="both"/>
                    <w:rPr>
                      <w:bCs/>
                      <w:color w:val="auto"/>
                    </w:rPr>
                  </w:pPr>
                  <w:r>
                    <w:rPr>
                      <w:rFonts w:hint="eastAsia"/>
                      <w:bCs/>
                      <w:color w:val="auto"/>
                    </w:rPr>
                    <w:t>（一）修建违章丁坝、顺坝、围堤、生产堤、高路、高渠、房屋；</w:t>
                  </w:r>
                </w:p>
                <w:p w14:paraId="53C0F23F">
                  <w:pPr>
                    <w:pStyle w:val="28"/>
                    <w:jc w:val="both"/>
                    <w:rPr>
                      <w:bCs/>
                      <w:color w:val="auto"/>
                    </w:rPr>
                  </w:pPr>
                  <w:r>
                    <w:rPr>
                      <w:rFonts w:hint="eastAsia"/>
                      <w:bCs/>
                      <w:color w:val="auto"/>
                    </w:rPr>
                    <w:t>（二）存放物料，倾倒垃圾、矿渣、煤灰、废弃土石料和其他废弃物；</w:t>
                  </w:r>
                </w:p>
                <w:p w14:paraId="6CF31CBA">
                  <w:pPr>
                    <w:pStyle w:val="28"/>
                    <w:jc w:val="both"/>
                    <w:rPr>
                      <w:bCs/>
                      <w:color w:val="auto"/>
                    </w:rPr>
                  </w:pPr>
                  <w:r>
                    <w:rPr>
                      <w:rFonts w:hint="eastAsia"/>
                      <w:bCs/>
                      <w:color w:val="auto"/>
                    </w:rPr>
                    <w:t>（三）围河造田、种植阻水林木和高秆作物。</w:t>
                  </w:r>
                </w:p>
                <w:p w14:paraId="44A34F1C">
                  <w:pPr>
                    <w:pStyle w:val="28"/>
                    <w:jc w:val="both"/>
                    <w:rPr>
                      <w:bCs/>
                      <w:color w:val="auto"/>
                    </w:rPr>
                  </w:pPr>
                  <w:r>
                    <w:rPr>
                      <w:rFonts w:hint="eastAsia"/>
                      <w:bCs/>
                      <w:color w:val="auto"/>
                    </w:rPr>
                    <w:t>禁止垦种堤防或者在堤防和护堤地内挖坑、开口、爆破、打井、挖沙、取土、沟金、挖池、挖塘、放牧、葬坟。</w:t>
                  </w:r>
                </w:p>
              </w:tc>
              <w:tc>
                <w:tcPr>
                  <w:tcW w:w="1644" w:type="pct"/>
                  <w:vAlign w:val="center"/>
                </w:tcPr>
                <w:p w14:paraId="3DC133D4">
                  <w:pPr>
                    <w:pStyle w:val="28"/>
                    <w:jc w:val="both"/>
                    <w:rPr>
                      <w:bCs/>
                      <w:color w:val="auto"/>
                    </w:rPr>
                  </w:pPr>
                  <w:r>
                    <w:rPr>
                      <w:rFonts w:hint="eastAsia"/>
                      <w:color w:val="auto"/>
                      <w:lang w:bidi="ar"/>
                    </w:rPr>
                    <w:t>本项目是对</w:t>
                  </w:r>
                  <w:r>
                    <w:rPr>
                      <w:rFonts w:hint="eastAsia"/>
                      <w:color w:val="auto"/>
                      <w:lang w:eastAsia="zh-CN"/>
                    </w:rPr>
                    <w:t>湑水河老县城村段</w:t>
                  </w:r>
                  <w:r>
                    <w:rPr>
                      <w:rFonts w:hint="eastAsia"/>
                      <w:color w:val="auto"/>
                      <w:lang w:bidi="ar"/>
                    </w:rPr>
                    <w:t>进行防洪治理工程，同时修建两</w:t>
                  </w:r>
                  <w:r>
                    <w:rPr>
                      <w:rFonts w:hint="eastAsia"/>
                      <w:color w:val="auto"/>
                      <w:lang w:val="en-US" w:eastAsia="zh-CN" w:bidi="ar"/>
                    </w:rPr>
                    <w:t>侧护岸</w:t>
                  </w:r>
                  <w:r>
                    <w:rPr>
                      <w:rFonts w:hint="eastAsia"/>
                      <w:bCs/>
                      <w:color w:val="auto"/>
                    </w:rPr>
                    <w:t>，不属于“条例”中禁止的行为。</w:t>
                  </w:r>
                </w:p>
              </w:tc>
              <w:tc>
                <w:tcPr>
                  <w:tcW w:w="481" w:type="pct"/>
                  <w:vAlign w:val="center"/>
                </w:tcPr>
                <w:p w14:paraId="5C5DB43E">
                  <w:pPr>
                    <w:pStyle w:val="28"/>
                    <w:rPr>
                      <w:bCs/>
                      <w:color w:val="auto"/>
                    </w:rPr>
                  </w:pPr>
                  <w:r>
                    <w:rPr>
                      <w:rFonts w:hint="eastAsia"/>
                      <w:bCs/>
                      <w:color w:val="auto"/>
                    </w:rPr>
                    <w:t>符合</w:t>
                  </w:r>
                </w:p>
              </w:tc>
            </w:tr>
            <w:tr w14:paraId="46830B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Merge w:val="continue"/>
                  <w:vAlign w:val="center"/>
                </w:tcPr>
                <w:p w14:paraId="41D0286C">
                  <w:pPr>
                    <w:pStyle w:val="28"/>
                    <w:rPr>
                      <w:color w:val="auto"/>
                    </w:rPr>
                  </w:pPr>
                </w:p>
              </w:tc>
              <w:tc>
                <w:tcPr>
                  <w:tcW w:w="2283" w:type="pct"/>
                  <w:vAlign w:val="center"/>
                </w:tcPr>
                <w:p w14:paraId="2FE249E1">
                  <w:pPr>
                    <w:pStyle w:val="28"/>
                    <w:jc w:val="both"/>
                    <w:rPr>
                      <w:bCs/>
                      <w:color w:val="auto"/>
                    </w:rPr>
                  </w:pPr>
                  <w:r>
                    <w:rPr>
                      <w:rFonts w:hint="eastAsia"/>
                      <w:bCs/>
                      <w:color w:val="auto"/>
                    </w:rPr>
                    <w:t>第二十二条在河道管理范围内进行下列活动，必须按照河道管理权限报水行政主管部门审批：</w:t>
                  </w:r>
                </w:p>
                <w:p w14:paraId="6BD73F3F">
                  <w:pPr>
                    <w:pStyle w:val="28"/>
                    <w:jc w:val="both"/>
                    <w:rPr>
                      <w:bCs/>
                      <w:color w:val="auto"/>
                    </w:rPr>
                  </w:pPr>
                  <w:r>
                    <w:rPr>
                      <w:rFonts w:hint="eastAsia"/>
                      <w:bCs/>
                      <w:color w:val="auto"/>
                    </w:rPr>
                    <w:t>（一）临时占用河道、湖泊管理范围内滩地、水面的；</w:t>
                  </w:r>
                </w:p>
                <w:p w14:paraId="7FE61405">
                  <w:pPr>
                    <w:pStyle w:val="28"/>
                    <w:jc w:val="both"/>
                    <w:rPr>
                      <w:bCs/>
                      <w:color w:val="auto"/>
                    </w:rPr>
                  </w:pPr>
                  <w:r>
                    <w:rPr>
                      <w:rFonts w:hint="eastAsia"/>
                      <w:bCs/>
                      <w:color w:val="auto"/>
                    </w:rPr>
                    <w:t>（二）修建越堤路、过河便桥、码头的；</w:t>
                  </w:r>
                </w:p>
                <w:p w14:paraId="1C6A9CE7">
                  <w:pPr>
                    <w:pStyle w:val="28"/>
                    <w:jc w:val="both"/>
                    <w:rPr>
                      <w:bCs/>
                      <w:color w:val="auto"/>
                    </w:rPr>
                  </w:pPr>
                  <w:r>
                    <w:rPr>
                      <w:rFonts w:hint="eastAsia"/>
                      <w:bCs/>
                      <w:color w:val="auto"/>
                    </w:rPr>
                    <w:t>（三）打井、钻探，穿堤埋设管线的；</w:t>
                  </w:r>
                </w:p>
                <w:p w14:paraId="2E027D95">
                  <w:pPr>
                    <w:pStyle w:val="28"/>
                    <w:jc w:val="both"/>
                    <w:rPr>
                      <w:bCs/>
                      <w:color w:val="auto"/>
                    </w:rPr>
                  </w:pPr>
                  <w:r>
                    <w:rPr>
                      <w:rFonts w:hint="eastAsia"/>
                      <w:bCs/>
                      <w:color w:val="auto"/>
                    </w:rPr>
                    <w:t>（四）在河道滩地开采矿产资源，进行考古发掘，开发旅游资源的；</w:t>
                  </w:r>
                </w:p>
                <w:p w14:paraId="14EBA171">
                  <w:pPr>
                    <w:pStyle w:val="28"/>
                    <w:jc w:val="both"/>
                    <w:rPr>
                      <w:bCs/>
                      <w:color w:val="auto"/>
                    </w:rPr>
                  </w:pPr>
                  <w:r>
                    <w:rPr>
                      <w:rFonts w:hint="eastAsia"/>
                      <w:bCs/>
                      <w:color w:val="auto"/>
                    </w:rPr>
                    <w:t>（五）其他必须在河道管理范围内进行生产建设活动的。</w:t>
                  </w:r>
                </w:p>
              </w:tc>
              <w:tc>
                <w:tcPr>
                  <w:tcW w:w="1644" w:type="pct"/>
                  <w:vAlign w:val="center"/>
                </w:tcPr>
                <w:p w14:paraId="3F906853">
                  <w:pPr>
                    <w:pStyle w:val="28"/>
                    <w:jc w:val="both"/>
                    <w:rPr>
                      <w:bCs/>
                      <w:color w:val="auto"/>
                    </w:rPr>
                  </w:pPr>
                  <w:r>
                    <w:rPr>
                      <w:rFonts w:hint="eastAsia"/>
                      <w:color w:val="auto"/>
                      <w:lang w:bidi="ar"/>
                    </w:rPr>
                    <w:t>本项目是对</w:t>
                  </w:r>
                  <w:r>
                    <w:rPr>
                      <w:rFonts w:hint="eastAsia"/>
                      <w:color w:val="auto"/>
                      <w:lang w:eastAsia="zh-CN"/>
                    </w:rPr>
                    <w:t>湑水河老县城村段</w:t>
                  </w:r>
                  <w:r>
                    <w:rPr>
                      <w:rFonts w:hint="eastAsia"/>
                      <w:color w:val="auto"/>
                      <w:lang w:bidi="ar"/>
                    </w:rPr>
                    <w:t>进行防洪治理工程，同时修建两</w:t>
                  </w:r>
                  <w:r>
                    <w:rPr>
                      <w:rFonts w:hint="eastAsia"/>
                      <w:color w:val="auto"/>
                      <w:lang w:val="en-US" w:eastAsia="zh-CN" w:bidi="ar"/>
                    </w:rPr>
                    <w:t>侧护岸</w:t>
                  </w:r>
                  <w:r>
                    <w:rPr>
                      <w:rFonts w:hint="eastAsia"/>
                      <w:color w:val="auto"/>
                      <w:lang w:bidi="ar"/>
                    </w:rPr>
                    <w:t>，</w:t>
                  </w:r>
                  <w:r>
                    <w:rPr>
                      <w:rFonts w:hint="eastAsia"/>
                      <w:bCs/>
                      <w:color w:val="auto"/>
                    </w:rPr>
                    <w:t>项目建设已经征得周至县水务局同意，符合管理条例要求。</w:t>
                  </w:r>
                </w:p>
              </w:tc>
              <w:tc>
                <w:tcPr>
                  <w:tcW w:w="481" w:type="pct"/>
                  <w:vAlign w:val="center"/>
                </w:tcPr>
                <w:p w14:paraId="30E29D6B">
                  <w:pPr>
                    <w:pStyle w:val="28"/>
                    <w:rPr>
                      <w:bCs/>
                      <w:color w:val="auto"/>
                    </w:rPr>
                  </w:pPr>
                  <w:r>
                    <w:rPr>
                      <w:rFonts w:hint="eastAsia"/>
                      <w:bCs/>
                      <w:color w:val="auto"/>
                    </w:rPr>
                    <w:t>符合</w:t>
                  </w:r>
                </w:p>
              </w:tc>
            </w:tr>
            <w:tr w14:paraId="25010A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Merge w:val="continue"/>
                  <w:vAlign w:val="center"/>
                </w:tcPr>
                <w:p w14:paraId="4F28A07B">
                  <w:pPr>
                    <w:pStyle w:val="28"/>
                    <w:rPr>
                      <w:color w:val="auto"/>
                    </w:rPr>
                  </w:pPr>
                </w:p>
              </w:tc>
              <w:tc>
                <w:tcPr>
                  <w:tcW w:w="2283" w:type="pct"/>
                  <w:vAlign w:val="center"/>
                </w:tcPr>
                <w:p w14:paraId="01C5D86E">
                  <w:pPr>
                    <w:pStyle w:val="28"/>
                    <w:jc w:val="both"/>
                    <w:rPr>
                      <w:bCs/>
                      <w:color w:val="auto"/>
                    </w:rPr>
                  </w:pPr>
                  <w:r>
                    <w:rPr>
                      <w:rFonts w:hint="eastAsia"/>
                      <w:bCs/>
                      <w:color w:val="auto"/>
                    </w:rPr>
                    <w:t>第二十三条在河道管理范围内采运砂、石、土料以及淘金等，必须报经水行政主管部门批准，按照指定范围和要求作业，并按规定向水行政主管部门缴纳管理费。</w:t>
                  </w:r>
                </w:p>
              </w:tc>
              <w:tc>
                <w:tcPr>
                  <w:tcW w:w="1644" w:type="pct"/>
                  <w:vAlign w:val="center"/>
                </w:tcPr>
                <w:p w14:paraId="3D0F9C0A">
                  <w:pPr>
                    <w:pStyle w:val="28"/>
                    <w:jc w:val="both"/>
                    <w:rPr>
                      <w:bCs/>
                      <w:color w:val="auto"/>
                    </w:rPr>
                  </w:pPr>
                  <w:r>
                    <w:rPr>
                      <w:rFonts w:hint="eastAsia"/>
                      <w:bCs/>
                      <w:color w:val="auto"/>
                    </w:rPr>
                    <w:t>本项目不涉及在河道管理范围内采运砂、石、土料以及淘金等行为。</w:t>
                  </w:r>
                </w:p>
              </w:tc>
              <w:tc>
                <w:tcPr>
                  <w:tcW w:w="481" w:type="pct"/>
                  <w:vAlign w:val="center"/>
                </w:tcPr>
                <w:p w14:paraId="71FACF81">
                  <w:pPr>
                    <w:pStyle w:val="28"/>
                    <w:rPr>
                      <w:bCs/>
                      <w:color w:val="auto"/>
                    </w:rPr>
                  </w:pPr>
                  <w:r>
                    <w:rPr>
                      <w:rFonts w:hint="eastAsia"/>
                      <w:bCs/>
                      <w:color w:val="auto"/>
                    </w:rPr>
                    <w:t>符合</w:t>
                  </w:r>
                </w:p>
              </w:tc>
            </w:tr>
            <w:tr w14:paraId="4EA350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Merge w:val="restart"/>
                  <w:vAlign w:val="center"/>
                </w:tcPr>
                <w:p w14:paraId="4489789E">
                  <w:pPr>
                    <w:pStyle w:val="28"/>
                    <w:rPr>
                      <w:color w:val="auto"/>
                    </w:rPr>
                  </w:pPr>
                  <w:r>
                    <w:rPr>
                      <w:rFonts w:hint="eastAsia"/>
                      <w:color w:val="auto"/>
                    </w:rPr>
                    <w:t>《水利建设项目（河湖整治与防洪除涝工程）环境影响评价文件审批原则（试行）》</w:t>
                  </w:r>
                </w:p>
              </w:tc>
              <w:tc>
                <w:tcPr>
                  <w:tcW w:w="2283" w:type="pct"/>
                  <w:vAlign w:val="center"/>
                </w:tcPr>
                <w:p w14:paraId="41842281">
                  <w:pPr>
                    <w:pStyle w:val="28"/>
                    <w:jc w:val="both"/>
                    <w:rPr>
                      <w:bCs/>
                      <w:color w:val="auto"/>
                    </w:rPr>
                  </w:pPr>
                  <w:r>
                    <w:rPr>
                      <w:rFonts w:hint="eastAsia"/>
                      <w:bCs/>
                      <w:color w:val="auto"/>
                    </w:rPr>
                    <w:t>第三条工程选址选线、施工布置原则上不占用自然保护区、风景名胜区、世界文化和自然遗产地以及其他生态保护红线等环境敏感区中法律法规禁止占用的区域，并与饮用水水源保护区的保护要求相协调。法律法规、政策另有规定的从其规定。</w:t>
                  </w:r>
                </w:p>
              </w:tc>
              <w:tc>
                <w:tcPr>
                  <w:tcW w:w="1644" w:type="pct"/>
                  <w:vAlign w:val="center"/>
                </w:tcPr>
                <w:p w14:paraId="45CB1912">
                  <w:pPr>
                    <w:pStyle w:val="28"/>
                    <w:jc w:val="both"/>
                    <w:rPr>
                      <w:bCs/>
                      <w:color w:val="auto"/>
                    </w:rPr>
                  </w:pPr>
                  <w:r>
                    <w:rPr>
                      <w:rFonts w:hint="eastAsia"/>
                      <w:bCs/>
                      <w:color w:val="auto"/>
                      <w:szCs w:val="21"/>
                      <w:lang w:val="en-US" w:eastAsia="zh-CN"/>
                    </w:rPr>
                    <w:t>本</w:t>
                  </w:r>
                  <w:r>
                    <w:rPr>
                      <w:rFonts w:hint="eastAsia" w:eastAsia="宋体"/>
                      <w:bCs/>
                      <w:color w:val="auto"/>
                      <w:szCs w:val="21"/>
                      <w:lang w:val="en-US" w:eastAsia="zh-CN"/>
                    </w:rPr>
                    <w:t>项目位于老县城自然保</w:t>
                  </w:r>
                  <w:r>
                    <w:rPr>
                      <w:rFonts w:hint="eastAsia"/>
                      <w:bCs/>
                      <w:color w:val="auto"/>
                      <w:szCs w:val="21"/>
                      <w:lang w:val="en-US" w:eastAsia="zh-CN"/>
                    </w:rPr>
                    <w:t>护区</w:t>
                  </w:r>
                  <w:r>
                    <w:rPr>
                      <w:rFonts w:hint="eastAsia" w:eastAsia="宋体"/>
                      <w:bCs/>
                      <w:color w:val="auto"/>
                      <w:szCs w:val="21"/>
                      <w:lang w:val="en-US" w:eastAsia="zh-CN"/>
                    </w:rPr>
                    <w:t>，依据相关法律法规进行建设，属于环境治理与生态保护类项目，本工程对施工期各类废（污）水、扬尘、废气、噪声、固体废物等均提出了防治或处置措施，产生的不利影响</w:t>
                  </w:r>
                  <w:r>
                    <w:rPr>
                      <w:rFonts w:hint="eastAsia"/>
                      <w:bCs/>
                      <w:color w:val="auto"/>
                      <w:szCs w:val="21"/>
                      <w:lang w:val="en-US" w:eastAsia="zh-CN"/>
                    </w:rPr>
                    <w:t>甚微</w:t>
                  </w:r>
                  <w:r>
                    <w:rPr>
                      <w:rFonts w:hint="eastAsia" w:eastAsia="宋体"/>
                      <w:bCs/>
                      <w:color w:val="auto"/>
                      <w:szCs w:val="21"/>
                      <w:lang w:val="en-US" w:eastAsia="zh-CN"/>
                    </w:rPr>
                    <w:t>，且随施工期结束而消失。</w:t>
                  </w:r>
                </w:p>
              </w:tc>
              <w:tc>
                <w:tcPr>
                  <w:tcW w:w="481" w:type="pct"/>
                  <w:vAlign w:val="center"/>
                </w:tcPr>
                <w:p w14:paraId="6AA95933">
                  <w:pPr>
                    <w:pStyle w:val="28"/>
                    <w:rPr>
                      <w:bCs/>
                      <w:color w:val="auto"/>
                    </w:rPr>
                  </w:pPr>
                  <w:r>
                    <w:rPr>
                      <w:rFonts w:hint="eastAsia"/>
                      <w:bCs/>
                      <w:color w:val="auto"/>
                    </w:rPr>
                    <w:t>符合</w:t>
                  </w:r>
                </w:p>
              </w:tc>
            </w:tr>
            <w:tr w14:paraId="3EA3CA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590" w:type="pct"/>
                  <w:vMerge w:val="continue"/>
                  <w:vAlign w:val="center"/>
                </w:tcPr>
                <w:p w14:paraId="3340D0CF">
                  <w:pPr>
                    <w:pStyle w:val="28"/>
                    <w:rPr>
                      <w:color w:val="auto"/>
                    </w:rPr>
                  </w:pPr>
                </w:p>
              </w:tc>
              <w:tc>
                <w:tcPr>
                  <w:tcW w:w="2283" w:type="pct"/>
                  <w:vAlign w:val="center"/>
                </w:tcPr>
                <w:p w14:paraId="4C29CD63">
                  <w:pPr>
                    <w:pStyle w:val="28"/>
                    <w:jc w:val="both"/>
                    <w:rPr>
                      <w:bCs/>
                      <w:color w:val="auto"/>
                    </w:rPr>
                  </w:pPr>
                  <w:r>
                    <w:rPr>
                      <w:rFonts w:hint="eastAsia"/>
                      <w:bCs/>
                      <w:color w:val="auto"/>
                    </w:rPr>
                    <w:t>第七条项目施工组织方案具有环境合理性，对料场、弃土（渣）场等施工场地提出了水土流失防治和生态修复等措施。根据环境保护相关标准和要求，对施工期各类废（污）水、扬尘、废气、噪声、固体废物等提出了防治或处置措施。其中，涉水施工涉及饮用水水源保护区或取水口并可能对水质造成不利影响的，提出了避让、施工方案优化、污染物控制等措施；涉水施工对鱼类等水生生物及其重要生境造成不利影响的，提出了避让、施工方案优化、控制施工噪声等措施；针对清淤、疏浚等产生的淤泥，提出了符合相关规定的处置或综合利用方案。在采取上述措施后，施工期的不利环境影响能够得到缓解和控制，不会对周围环境和敏感保护目标造成重大不利影响。</w:t>
                  </w:r>
                </w:p>
              </w:tc>
              <w:tc>
                <w:tcPr>
                  <w:tcW w:w="1644" w:type="pct"/>
                  <w:vAlign w:val="center"/>
                </w:tcPr>
                <w:p w14:paraId="201F8932">
                  <w:pPr>
                    <w:pStyle w:val="28"/>
                    <w:jc w:val="both"/>
                    <w:rPr>
                      <w:bCs/>
                      <w:color w:val="auto"/>
                    </w:rPr>
                  </w:pPr>
                  <w:r>
                    <w:rPr>
                      <w:rFonts w:hint="eastAsia"/>
                      <w:bCs/>
                      <w:color w:val="auto"/>
                    </w:rPr>
                    <w:t>本工程对施工期各类废（污）水、扬尘、废气、噪声、固体废物等均提出了防治或处置措施。工程施工</w:t>
                  </w:r>
                  <w:r>
                    <w:rPr>
                      <w:rFonts w:hint="eastAsia"/>
                      <w:bCs/>
                      <w:color w:val="auto"/>
                      <w:lang w:val="en-US" w:eastAsia="zh-CN"/>
                    </w:rPr>
                    <w:t>产生的废水经沉淀池处理后回用，不会排入水体</w:t>
                  </w:r>
                  <w:r>
                    <w:rPr>
                      <w:rFonts w:hint="eastAsia"/>
                      <w:bCs/>
                      <w:color w:val="auto"/>
                    </w:rPr>
                    <w:t>；不会对鱼类等水生生物及其重要生境造成不利影响。</w:t>
                  </w:r>
                </w:p>
              </w:tc>
              <w:tc>
                <w:tcPr>
                  <w:tcW w:w="481" w:type="pct"/>
                  <w:vAlign w:val="center"/>
                </w:tcPr>
                <w:p w14:paraId="3E92B072">
                  <w:pPr>
                    <w:pStyle w:val="28"/>
                    <w:rPr>
                      <w:bCs/>
                      <w:color w:val="auto"/>
                    </w:rPr>
                  </w:pPr>
                  <w:r>
                    <w:rPr>
                      <w:rFonts w:hint="eastAsia"/>
                      <w:bCs/>
                      <w:color w:val="auto"/>
                    </w:rPr>
                    <w:t>符合</w:t>
                  </w:r>
                </w:p>
              </w:tc>
            </w:tr>
          </w:tbl>
          <w:p w14:paraId="77103CED">
            <w:pPr>
              <w:pStyle w:val="37"/>
              <w:ind w:firstLine="482"/>
              <w:rPr>
                <w:b/>
                <w:bCs/>
                <w:color w:val="auto"/>
              </w:rPr>
            </w:pPr>
            <w:r>
              <w:rPr>
                <w:b/>
                <w:bCs/>
                <w:color w:val="auto"/>
              </w:rPr>
              <w:t>4</w:t>
            </w:r>
            <w:r>
              <w:rPr>
                <w:rFonts w:hint="eastAsia"/>
                <w:b/>
                <w:bCs/>
                <w:color w:val="auto"/>
              </w:rPr>
              <w:t>、建设项目与相关生态环境保护规划的符合性分析</w:t>
            </w:r>
          </w:p>
          <w:p w14:paraId="3264B1C3">
            <w:pPr>
              <w:pStyle w:val="35"/>
              <w:rPr>
                <w:color w:val="auto"/>
              </w:rPr>
            </w:pPr>
            <w:r>
              <w:rPr>
                <w:rFonts w:hint="eastAsia"/>
                <w:color w:val="auto"/>
              </w:rPr>
              <w:t>表</w:t>
            </w:r>
            <w:r>
              <w:rPr>
                <w:rFonts w:hint="eastAsia"/>
                <w:color w:val="auto"/>
                <w:lang w:val="en-US" w:eastAsia="zh-CN"/>
              </w:rPr>
              <w:t xml:space="preserve">4   </w:t>
            </w:r>
            <w:r>
              <w:rPr>
                <w:rFonts w:hint="eastAsia"/>
                <w:color w:val="auto"/>
              </w:rPr>
              <w:t>项目建设与相关生态环境保护规划符合性分析表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53"/>
              <w:gridCol w:w="3374"/>
              <w:gridCol w:w="2071"/>
              <w:gridCol w:w="793"/>
            </w:tblGrid>
            <w:tr w14:paraId="1F782F8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jc w:val="center"/>
              </w:trPr>
              <w:tc>
                <w:tcPr>
                  <w:tcW w:w="780" w:type="pct"/>
                  <w:vAlign w:val="center"/>
                </w:tcPr>
                <w:p w14:paraId="187DCB98">
                  <w:pPr>
                    <w:pStyle w:val="28"/>
                    <w:rPr>
                      <w:b/>
                      <w:bCs/>
                      <w:color w:val="auto"/>
                      <w:lang w:bidi="ar"/>
                    </w:rPr>
                  </w:pPr>
                  <w:r>
                    <w:rPr>
                      <w:rFonts w:hint="eastAsia"/>
                      <w:b/>
                      <w:bCs/>
                      <w:color w:val="auto"/>
                      <w:lang w:bidi="ar"/>
                    </w:rPr>
                    <w:t>规划名称</w:t>
                  </w:r>
                </w:p>
              </w:tc>
              <w:tc>
                <w:tcPr>
                  <w:tcW w:w="2282" w:type="pct"/>
                  <w:vAlign w:val="center"/>
                </w:tcPr>
                <w:p w14:paraId="6E6ED37B">
                  <w:pPr>
                    <w:pStyle w:val="28"/>
                    <w:rPr>
                      <w:b/>
                      <w:bCs/>
                      <w:color w:val="auto"/>
                      <w:lang w:bidi="ar"/>
                    </w:rPr>
                  </w:pPr>
                  <w:r>
                    <w:rPr>
                      <w:rFonts w:hint="eastAsia"/>
                      <w:b/>
                      <w:bCs/>
                      <w:color w:val="auto"/>
                      <w:lang w:bidi="ar"/>
                    </w:rPr>
                    <w:t>相关规定及要求</w:t>
                  </w:r>
                </w:p>
              </w:tc>
              <w:tc>
                <w:tcPr>
                  <w:tcW w:w="1401" w:type="pct"/>
                  <w:vAlign w:val="center"/>
                </w:tcPr>
                <w:p w14:paraId="0A4731A7">
                  <w:pPr>
                    <w:pStyle w:val="28"/>
                    <w:rPr>
                      <w:b/>
                      <w:bCs/>
                      <w:color w:val="auto"/>
                      <w:lang w:bidi="ar"/>
                    </w:rPr>
                  </w:pPr>
                  <w:r>
                    <w:rPr>
                      <w:rFonts w:hint="eastAsia"/>
                      <w:b/>
                      <w:bCs/>
                      <w:color w:val="auto"/>
                      <w:lang w:bidi="ar"/>
                    </w:rPr>
                    <w:t>符合性分析</w:t>
                  </w:r>
                </w:p>
              </w:tc>
              <w:tc>
                <w:tcPr>
                  <w:tcW w:w="536" w:type="pct"/>
                  <w:vAlign w:val="center"/>
                </w:tcPr>
                <w:p w14:paraId="7562C49E">
                  <w:pPr>
                    <w:pStyle w:val="28"/>
                    <w:rPr>
                      <w:b/>
                      <w:bCs/>
                      <w:color w:val="auto"/>
                      <w:lang w:bidi="ar"/>
                    </w:rPr>
                  </w:pPr>
                  <w:r>
                    <w:rPr>
                      <w:rFonts w:hint="eastAsia"/>
                      <w:b/>
                      <w:bCs/>
                      <w:color w:val="auto"/>
                      <w:lang w:bidi="ar"/>
                    </w:rPr>
                    <w:t>分析结果</w:t>
                  </w:r>
                </w:p>
              </w:tc>
            </w:tr>
            <w:tr w14:paraId="2FD496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5029DD60">
                  <w:pPr>
                    <w:pStyle w:val="28"/>
                    <w:rPr>
                      <w:color w:val="auto"/>
                    </w:rPr>
                  </w:pPr>
                  <w:r>
                    <w:rPr>
                      <w:rFonts w:hint="eastAsia"/>
                      <w:color w:val="auto"/>
                    </w:rPr>
                    <w:t>《陕西省秦岭生态环境保护条例总体规划》</w:t>
                  </w:r>
                </w:p>
              </w:tc>
              <w:tc>
                <w:tcPr>
                  <w:tcW w:w="2282" w:type="pct"/>
                  <w:vAlign w:val="center"/>
                </w:tcPr>
                <w:p w14:paraId="007DB37E">
                  <w:pPr>
                    <w:pStyle w:val="37"/>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第十五条：“在秦岭生态环境保护范围内进行自然资源保护、利用、开发等活动适用本条例。本条例所称秦岭生态环境保护范围（以下简称秦岭范围），是指本省行政区域内秦岭山体东西以省界为界、南北以秦岭山体坡底为界的区域，包括商洛市全部行政区域以及西安市、宝鸡市、渭南市、汉中市、安康市的部分行政区域。”</w:t>
                  </w:r>
                </w:p>
                <w:p w14:paraId="0B9C1288">
                  <w:pPr>
                    <w:pStyle w:val="28"/>
                    <w:ind w:firstLine="420" w:firstLineChars="200"/>
                    <w:jc w:val="both"/>
                    <w:rPr>
                      <w:color w:val="auto"/>
                      <w:lang w:bidi="ar"/>
                    </w:rPr>
                  </w:pPr>
                  <w:r>
                    <w:rPr>
                      <w:rFonts w:hint="eastAsia"/>
                      <w:color w:val="auto"/>
                    </w:rPr>
                    <w:t>重点保护区内生物多样性集中，原始森林和野生珍稀动植物资源丰富，是自然保护区、森林公园、风景名胜区等各类保护区集中区，也是国家南水北调中线工程和黄河流域渭河水系的主要水源涵养区，自然生态环境容易遭受破坏，对于秦岭科学保护和合理利用十分关键。除《条例》另有规定外，重点保护区不得进行与其保护功能不相符的开发建设活动，依法禁止房地产开发，禁止新建水电站，禁止新建、扩建、异地重建宗教活动场所，禁止勘探、开发矿产资源和开山采石，严格执行重点保护区产业准入清单制度。法律、行政法规对重点保护区管理有相关规定的，依照相关规定执行</w:t>
                  </w:r>
                  <w:r>
                    <w:rPr>
                      <w:rFonts w:hint="eastAsia"/>
                      <w:color w:val="auto"/>
                      <w:lang w:eastAsia="zh-CN"/>
                    </w:rPr>
                    <w:t>。</w:t>
                  </w:r>
                </w:p>
              </w:tc>
              <w:tc>
                <w:tcPr>
                  <w:tcW w:w="1401" w:type="pct"/>
                  <w:vAlign w:val="center"/>
                </w:tcPr>
                <w:p w14:paraId="5AE00EB3">
                  <w:pPr>
                    <w:pStyle w:val="28"/>
                    <w:jc w:val="both"/>
                    <w:rPr>
                      <w:color w:val="auto"/>
                      <w:lang w:bidi="ar"/>
                    </w:rPr>
                  </w:pPr>
                  <w:r>
                    <w:rPr>
                      <w:rFonts w:hint="eastAsia"/>
                      <w:color w:val="auto"/>
                    </w:rPr>
                    <w:t>本</w:t>
                  </w:r>
                  <w:r>
                    <w:rPr>
                      <w:rFonts w:hint="eastAsia" w:ascii="Times New Roman" w:hAnsi="Times New Roman" w:eastAsia="宋体" w:cs="Times New Roman"/>
                      <w:color w:val="auto"/>
                      <w:kern w:val="2"/>
                      <w:sz w:val="21"/>
                      <w:szCs w:val="24"/>
                      <w:lang w:val="en-US" w:eastAsia="zh-CN" w:bidi="ar-SA"/>
                    </w:rPr>
                    <w:t>工程治理范围为湑水河老县城村段，位于秦岭重点保护区范围，且本项目为防洪治涝工程，属于水利类项目，位于秦岭生态环境保护规划分区保护范围内，符合规划的相关要求。</w:t>
                  </w:r>
                </w:p>
              </w:tc>
              <w:tc>
                <w:tcPr>
                  <w:tcW w:w="536" w:type="pct"/>
                  <w:vAlign w:val="center"/>
                </w:tcPr>
                <w:p w14:paraId="6067DCD1">
                  <w:pPr>
                    <w:pStyle w:val="28"/>
                    <w:rPr>
                      <w:color w:val="auto"/>
                    </w:rPr>
                  </w:pPr>
                  <w:r>
                    <w:rPr>
                      <w:rFonts w:hint="eastAsia" w:ascii="Times New Roman" w:hAnsi="Times New Roman" w:eastAsia="宋体" w:cs="Times New Roman"/>
                      <w:color w:val="auto"/>
                    </w:rPr>
                    <w:t>符合</w:t>
                  </w:r>
                </w:p>
              </w:tc>
            </w:tr>
            <w:tr w14:paraId="66BCE7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Merge w:val="restart"/>
                  <w:vAlign w:val="center"/>
                </w:tcPr>
                <w:p w14:paraId="0122EC82">
                  <w:pPr>
                    <w:pStyle w:val="28"/>
                    <w:rPr>
                      <w:color w:val="auto"/>
                      <w:lang w:bidi="ar"/>
                    </w:rPr>
                  </w:pPr>
                  <w:r>
                    <w:rPr>
                      <w:rFonts w:hint="eastAsia"/>
                      <w:color w:val="auto"/>
                    </w:rPr>
                    <w:t>《西安市“十四五”生态环境保护规划》（市政发〔2021〕21号）</w:t>
                  </w:r>
                </w:p>
              </w:tc>
              <w:tc>
                <w:tcPr>
                  <w:tcW w:w="2282" w:type="pct"/>
                  <w:vAlign w:val="center"/>
                </w:tcPr>
                <w:p w14:paraId="6DB3E378">
                  <w:pPr>
                    <w:pStyle w:val="28"/>
                    <w:jc w:val="both"/>
                    <w:rPr>
                      <w:color w:val="auto"/>
                      <w:lang w:bidi="ar"/>
                    </w:rPr>
                  </w:pPr>
                  <w:r>
                    <w:rPr>
                      <w:rFonts w:hint="eastAsia"/>
                      <w:color w:val="auto"/>
                      <w:lang w:bidi="ar"/>
                    </w:rPr>
                    <w:t>加强扬尘面源管控。理顺建设工地及“两类企业”扬尘污染防治工作机制，严格落实建设施工企业的主体责任、区县（开发区）的属地管理和行业监管责任。督导建设工地严格落实建设工地扬尘污染防治措施，不断探索扬尘污染防治新模式；加强督导检查惩处力度，全面推行绿色施工。建立标准化扬尘在线监控系统，对工地扬尘防治工作实施监管。开展全市道路洁净度检测评定，严格管控渣土运输车辆落实全密闭运输要求。</w:t>
                  </w:r>
                </w:p>
              </w:tc>
              <w:tc>
                <w:tcPr>
                  <w:tcW w:w="1401" w:type="pct"/>
                  <w:vAlign w:val="center"/>
                </w:tcPr>
                <w:p w14:paraId="646951DE">
                  <w:pPr>
                    <w:pStyle w:val="28"/>
                    <w:jc w:val="both"/>
                    <w:rPr>
                      <w:color w:val="auto"/>
                    </w:rPr>
                  </w:pPr>
                  <w:r>
                    <w:rPr>
                      <w:rFonts w:hint="eastAsia"/>
                      <w:color w:val="auto"/>
                    </w:rPr>
                    <w:t>本项目施工期严格按照环保要求管理，施工场地采取施工围挡、湿法作业、出入车辆清洗、渣土车密闭运输等防尘措施，减小施工扬尘对周边大气环境的影响。</w:t>
                  </w:r>
                </w:p>
              </w:tc>
              <w:tc>
                <w:tcPr>
                  <w:tcW w:w="536" w:type="pct"/>
                  <w:vAlign w:val="center"/>
                </w:tcPr>
                <w:p w14:paraId="2EE79C7A">
                  <w:pPr>
                    <w:pStyle w:val="28"/>
                    <w:rPr>
                      <w:color w:val="auto"/>
                      <w:lang w:bidi="ar"/>
                    </w:rPr>
                  </w:pPr>
                  <w:r>
                    <w:rPr>
                      <w:rFonts w:hint="eastAsia"/>
                      <w:color w:val="auto"/>
                    </w:rPr>
                    <w:t>符合</w:t>
                  </w:r>
                </w:p>
              </w:tc>
            </w:tr>
            <w:tr w14:paraId="7BFC164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Merge w:val="continue"/>
                  <w:vAlign w:val="center"/>
                </w:tcPr>
                <w:p w14:paraId="0791F39A">
                  <w:pPr>
                    <w:pStyle w:val="28"/>
                    <w:rPr>
                      <w:color w:val="auto"/>
                    </w:rPr>
                  </w:pPr>
                </w:p>
              </w:tc>
              <w:tc>
                <w:tcPr>
                  <w:tcW w:w="2282" w:type="pct"/>
                  <w:vAlign w:val="center"/>
                </w:tcPr>
                <w:p w14:paraId="7935E76B">
                  <w:pPr>
                    <w:pStyle w:val="28"/>
                    <w:jc w:val="both"/>
                    <w:rPr>
                      <w:color w:val="auto"/>
                      <w:lang w:bidi="ar"/>
                    </w:rPr>
                  </w:pPr>
                  <w:r>
                    <w:rPr>
                      <w:rFonts w:hint="eastAsia"/>
                      <w:color w:val="auto"/>
                      <w:lang w:bidi="ar"/>
                    </w:rPr>
                    <w:t>建筑施工噪声防治。加强施工噪声管理，实施城市建筑施工环保公告制度，推进利用噪声自动监测系统对建筑施工进行实时监督的措施。在建筑施工过程中推广使用低噪声设备和工艺，科学合理安排工期，加大对夜间施工作业的管理力度，确保施工噪声达标排放。</w:t>
                  </w:r>
                </w:p>
              </w:tc>
              <w:tc>
                <w:tcPr>
                  <w:tcW w:w="1401" w:type="pct"/>
                  <w:vAlign w:val="center"/>
                </w:tcPr>
                <w:p w14:paraId="775D7C3F">
                  <w:pPr>
                    <w:pStyle w:val="28"/>
                    <w:jc w:val="both"/>
                    <w:rPr>
                      <w:color w:val="auto"/>
                      <w:lang w:bidi="ar"/>
                    </w:rPr>
                  </w:pPr>
                  <w:r>
                    <w:rPr>
                      <w:rFonts w:hint="eastAsia"/>
                      <w:color w:val="auto"/>
                      <w:lang w:bidi="ar"/>
                    </w:rPr>
                    <w:t>本项目施工期通过选用低噪声施工机械和工艺、加强施工机械修理和维护、合理安排施工时间等措施，减小施工噪声对周边声环境的影响。</w:t>
                  </w:r>
                </w:p>
              </w:tc>
              <w:tc>
                <w:tcPr>
                  <w:tcW w:w="536" w:type="pct"/>
                  <w:vAlign w:val="center"/>
                </w:tcPr>
                <w:p w14:paraId="36667870">
                  <w:pPr>
                    <w:pStyle w:val="28"/>
                    <w:rPr>
                      <w:color w:val="auto"/>
                    </w:rPr>
                  </w:pPr>
                  <w:r>
                    <w:rPr>
                      <w:rFonts w:hint="eastAsia"/>
                      <w:color w:val="auto"/>
                    </w:rPr>
                    <w:t>符合</w:t>
                  </w:r>
                </w:p>
              </w:tc>
            </w:tr>
            <w:tr w14:paraId="375C8F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569302D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《中共中央、国务院关于加快水利改革发展的决定》</w:t>
                  </w:r>
                </w:p>
              </w:tc>
              <w:tc>
                <w:tcPr>
                  <w:tcW w:w="2282" w:type="pct"/>
                  <w:vAlign w:val="center"/>
                </w:tcPr>
                <w:p w14:paraId="501EB9F0">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要求加快中小河流治理和小型水库除险加固，中小河流治理应加固堤岸，清淤疏浚，使治理河段基本达到国家防洪标准；要求搞好水土保持和水生态保护，实施农村河道综合整治，大力开展生态清洁型小流域建设；特别提出要加强农田水利等薄弱环节建设。</w:t>
                  </w:r>
                </w:p>
              </w:tc>
              <w:tc>
                <w:tcPr>
                  <w:tcW w:w="1401" w:type="pct"/>
                  <w:vAlign w:val="center"/>
                </w:tcPr>
                <w:p w14:paraId="25C612EA">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本工程主要是对</w:t>
                  </w:r>
                  <w:r>
                    <w:rPr>
                      <w:rFonts w:hint="eastAsia" w:cs="Times New Roman"/>
                      <w:color w:val="auto"/>
                      <w:sz w:val="21"/>
                      <w:szCs w:val="21"/>
                      <w:lang w:eastAsia="zh-CN"/>
                    </w:rPr>
                    <w:t>周至县湑水河老县城村段</w:t>
                  </w:r>
                  <w:r>
                    <w:rPr>
                      <w:rFonts w:hint="default" w:ascii="Times New Roman" w:hAnsi="Times New Roman" w:cs="Times New Roman"/>
                      <w:color w:val="auto"/>
                      <w:sz w:val="21"/>
                      <w:szCs w:val="21"/>
                    </w:rPr>
                    <w:t>进行治理，主要建设护坡</w:t>
                  </w:r>
                  <w:r>
                    <w:rPr>
                      <w:rFonts w:hint="eastAsia" w:cs="Times New Roman"/>
                      <w:color w:val="auto"/>
                      <w:sz w:val="21"/>
                      <w:szCs w:val="21"/>
                      <w:lang w:eastAsia="zh-CN"/>
                    </w:rPr>
                    <w:t>，</w:t>
                  </w:r>
                  <w:r>
                    <w:rPr>
                      <w:rFonts w:hint="default" w:ascii="Times New Roman" w:hAnsi="Times New Roman" w:cs="Times New Roman"/>
                      <w:color w:val="auto"/>
                      <w:sz w:val="21"/>
                      <w:szCs w:val="21"/>
                    </w:rPr>
                    <w:t>提高河流的防洪能力，保障沿河居民的生命及财产安全，进行治理后该段河道设计防洪标准为</w:t>
                  </w:r>
                  <w:r>
                    <w:rPr>
                      <w:rFonts w:hint="eastAsia" w:cs="Times New Roman"/>
                      <w:color w:val="auto"/>
                      <w:sz w:val="21"/>
                      <w:szCs w:val="21"/>
                      <w:lang w:val="en-US" w:eastAsia="zh-CN"/>
                    </w:rPr>
                    <w:t>2</w:t>
                  </w:r>
                  <w:r>
                    <w:rPr>
                      <w:rFonts w:hint="default" w:ascii="Times New Roman" w:hAnsi="Times New Roman" w:cs="Times New Roman"/>
                      <w:color w:val="auto"/>
                      <w:sz w:val="21"/>
                      <w:szCs w:val="21"/>
                    </w:rPr>
                    <w:t>0年一遇。</w:t>
                  </w:r>
                </w:p>
              </w:tc>
              <w:tc>
                <w:tcPr>
                  <w:tcW w:w="536" w:type="pct"/>
                  <w:vAlign w:val="center"/>
                </w:tcPr>
                <w:p w14:paraId="1D07E1EC">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符合</w:t>
                  </w:r>
                </w:p>
              </w:tc>
            </w:tr>
            <w:tr w14:paraId="21F2DD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Merge w:val="restart"/>
                  <w:vAlign w:val="center"/>
                </w:tcPr>
                <w:p w14:paraId="6E0EB29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《自然资源部关于规范临时用地管理的通知》</w:t>
                  </w:r>
                </w:p>
              </w:tc>
              <w:tc>
                <w:tcPr>
                  <w:tcW w:w="2282" w:type="pct"/>
                  <w:vAlign w:val="center"/>
                </w:tcPr>
                <w:p w14:paraId="152191B8">
                  <w:pPr>
                    <w:spacing w:line="360" w:lineRule="atLeast"/>
                    <w:ind w:firstLine="0" w:firstLineChars="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临时用地的范围包括：</w:t>
                  </w:r>
                </w:p>
                <w:p w14:paraId="0D03332E">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一）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p>
              </w:tc>
              <w:tc>
                <w:tcPr>
                  <w:tcW w:w="1401" w:type="pct"/>
                  <w:vAlign w:val="center"/>
                </w:tcPr>
                <w:p w14:paraId="3593C372">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项目临时用地主要为临时库房（用于施工器具的存放）、临时堆土区，均属于临时用地范围。</w:t>
                  </w:r>
                </w:p>
              </w:tc>
              <w:tc>
                <w:tcPr>
                  <w:tcW w:w="536" w:type="pct"/>
                  <w:vAlign w:val="center"/>
                </w:tcPr>
                <w:p w14:paraId="7ADEECC1">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符合</w:t>
                  </w:r>
                </w:p>
              </w:tc>
            </w:tr>
            <w:tr w14:paraId="4DF0776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Merge w:val="continue"/>
                </w:tcPr>
                <w:p w14:paraId="1E0AE0CD">
                  <w:pPr>
                    <w:pStyle w:val="28"/>
                    <w:rPr>
                      <w:color w:val="auto"/>
                    </w:rPr>
                  </w:pPr>
                </w:p>
              </w:tc>
              <w:tc>
                <w:tcPr>
                  <w:tcW w:w="2282" w:type="pct"/>
                  <w:vAlign w:val="center"/>
                </w:tcPr>
                <w:p w14:paraId="7EB5F652">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建设项目施工、地质勘查使用临时用地时应坚持“用多少、批多少、占多少、恢复多少”，尽量不占或者少占耕地。</w:t>
                  </w:r>
                </w:p>
              </w:tc>
              <w:tc>
                <w:tcPr>
                  <w:tcW w:w="1401" w:type="pct"/>
                  <w:vAlign w:val="center"/>
                </w:tcPr>
                <w:p w14:paraId="117E0E4E">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项目临时用地不占耕地，均为河道用地及绿地</w:t>
                  </w:r>
                  <w:r>
                    <w:rPr>
                      <w:rFonts w:hint="default" w:ascii="Times New Roman" w:hAnsi="Times New Roman" w:cs="Times New Roman"/>
                      <w:color w:val="auto"/>
                      <w:sz w:val="21"/>
                      <w:szCs w:val="21"/>
                      <w:lang w:eastAsia="zh-CN"/>
                    </w:rPr>
                    <w:t>，</w:t>
                  </w:r>
                  <w:r>
                    <w:rPr>
                      <w:rStyle w:val="22"/>
                      <w:rFonts w:hint="default" w:ascii="Times New Roman" w:hAnsi="Times New Roman" w:cs="Times New Roman"/>
                      <w:color w:val="auto"/>
                      <w:kern w:val="0"/>
                      <w:szCs w:val="20"/>
                      <w:lang w:val="en-US" w:eastAsia="zh-CN"/>
                    </w:rPr>
                    <w:t>利用后对场地进行全面整地并生态恢复。</w:t>
                  </w:r>
                </w:p>
              </w:tc>
              <w:tc>
                <w:tcPr>
                  <w:tcW w:w="536" w:type="pct"/>
                  <w:vAlign w:val="center"/>
                </w:tcPr>
                <w:p w14:paraId="34A3877B">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符合</w:t>
                  </w:r>
                </w:p>
              </w:tc>
            </w:tr>
            <w:tr w14:paraId="75EAD8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79FA0BF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《“十四五”巩固拓展水利扶贫成果同乡村振兴水利保障有效衔接规划》</w:t>
                  </w:r>
                </w:p>
              </w:tc>
              <w:tc>
                <w:tcPr>
                  <w:tcW w:w="2282" w:type="pct"/>
                  <w:vAlign w:val="center"/>
                </w:tcPr>
                <w:p w14:paraId="2969346A">
                  <w:pPr>
                    <w:spacing w:line="360" w:lineRule="atLeast"/>
                    <w:ind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提高江河湖库防洪能力。力争实施流域面积200~3000km</w:t>
                  </w:r>
                  <w:r>
                    <w:rPr>
                      <w:rFonts w:hint="default" w:ascii="Times New Roman" w:hAnsi="Times New Roman" w:eastAsia="宋体" w:cs="Times New Roman"/>
                      <w:color w:val="auto"/>
                      <w:sz w:val="21"/>
                      <w:szCs w:val="21"/>
                      <w:vertAlign w:val="superscript"/>
                      <w:lang w:val="en-US" w:eastAsia="zh-CN"/>
                    </w:rPr>
                    <w:t>2</w:t>
                  </w:r>
                  <w:r>
                    <w:rPr>
                      <w:rFonts w:hint="default" w:ascii="Times New Roman" w:hAnsi="Times New Roman" w:eastAsia="宋体" w:cs="Times New Roman"/>
                      <w:color w:val="auto"/>
                      <w:sz w:val="21"/>
                      <w:szCs w:val="21"/>
                      <w:lang w:val="en-US" w:eastAsia="zh-CN"/>
                    </w:rPr>
                    <w:t>中小河流治理长度1.2万km。建立常态化除险加固机制，加强排查，及时发现、及时处理，实现常态化和信息化管理。</w:t>
                  </w:r>
                </w:p>
              </w:tc>
              <w:tc>
                <w:tcPr>
                  <w:tcW w:w="1401" w:type="pct"/>
                  <w:vAlign w:val="center"/>
                </w:tcPr>
                <w:p w14:paraId="248CD83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本工程主要是对</w:t>
                  </w:r>
                  <w:r>
                    <w:rPr>
                      <w:rFonts w:hint="eastAsia" w:cs="Times New Roman"/>
                      <w:color w:val="auto"/>
                      <w:sz w:val="21"/>
                      <w:szCs w:val="21"/>
                      <w:lang w:eastAsia="zh-CN"/>
                    </w:rPr>
                    <w:t>周至县湑水河老县城村段</w:t>
                  </w:r>
                  <w:r>
                    <w:rPr>
                      <w:rFonts w:hint="default" w:ascii="Times New Roman" w:hAnsi="Times New Roman" w:cs="Times New Roman"/>
                      <w:color w:val="auto"/>
                      <w:sz w:val="21"/>
                      <w:szCs w:val="21"/>
                    </w:rPr>
                    <w:t>进行治理，主要建设护坡，提高河流的防洪能力，保障沿河居民的生命及财产安全，进行治理后该段河道设计防洪标准为</w:t>
                  </w:r>
                  <w:r>
                    <w:rPr>
                      <w:rFonts w:hint="eastAsia" w:cs="Times New Roman"/>
                      <w:color w:val="auto"/>
                      <w:sz w:val="21"/>
                      <w:szCs w:val="21"/>
                      <w:lang w:val="en-US" w:eastAsia="zh-CN"/>
                    </w:rPr>
                    <w:t>2</w:t>
                  </w:r>
                  <w:r>
                    <w:rPr>
                      <w:rFonts w:hint="default" w:ascii="Times New Roman" w:hAnsi="Times New Roman" w:cs="Times New Roman"/>
                      <w:color w:val="auto"/>
                      <w:sz w:val="21"/>
                      <w:szCs w:val="21"/>
                    </w:rPr>
                    <w:t>0年一遇。</w:t>
                  </w:r>
                </w:p>
              </w:tc>
              <w:tc>
                <w:tcPr>
                  <w:tcW w:w="536" w:type="pct"/>
                  <w:vAlign w:val="center"/>
                </w:tcPr>
                <w:p w14:paraId="248EDA5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符合</w:t>
                  </w:r>
                </w:p>
              </w:tc>
            </w:tr>
            <w:tr w14:paraId="0727255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7210D7A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陕西省“十四五”水利发展规划</w:t>
                  </w:r>
                  <w:r>
                    <w:rPr>
                      <w:rFonts w:hint="default" w:ascii="Times New Roman" w:hAnsi="Times New Roman" w:cs="Times New Roman"/>
                      <w:color w:val="auto"/>
                      <w:sz w:val="21"/>
                      <w:szCs w:val="21"/>
                      <w:lang w:eastAsia="zh-CN"/>
                    </w:rPr>
                    <w:t>》</w:t>
                  </w:r>
                </w:p>
              </w:tc>
              <w:tc>
                <w:tcPr>
                  <w:tcW w:w="2282" w:type="pct"/>
                  <w:vAlign w:val="center"/>
                </w:tcPr>
                <w:p w14:paraId="66EC9D38">
                  <w:pPr>
                    <w:spacing w:line="360" w:lineRule="atLeast"/>
                    <w:ind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完善河流及城市防洪体系。基本建成东庄水利枢纽、榆林蒋家窑则水库；加快推进黄河古贤水利枢纽、延安龙安水库以及延安市城区、略阳县城、绥德县城防洪工程建设；加快黄河干流禹门口至潼关段综合治理，推进渭河、汉江、无定河、延河等主要支流以及中小河流防洪治理；完善渭南二华蓄滞洪工程设施。加快推进榆林雷河咀水库前期工作。</w:t>
                  </w:r>
                </w:p>
              </w:tc>
              <w:tc>
                <w:tcPr>
                  <w:tcW w:w="1401" w:type="pct"/>
                  <w:vAlign w:val="center"/>
                </w:tcPr>
                <w:p w14:paraId="26DBBAD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本项目</w:t>
                  </w:r>
                  <w:r>
                    <w:rPr>
                      <w:rFonts w:hint="default" w:ascii="Times New Roman" w:hAnsi="Times New Roman" w:cs="Times New Roman"/>
                      <w:color w:val="auto"/>
                      <w:sz w:val="21"/>
                      <w:szCs w:val="21"/>
                    </w:rPr>
                    <w:t>主要是对</w:t>
                  </w:r>
                  <w:r>
                    <w:rPr>
                      <w:rFonts w:hint="eastAsia" w:cs="Times New Roman"/>
                      <w:color w:val="auto"/>
                      <w:sz w:val="21"/>
                      <w:szCs w:val="21"/>
                      <w:lang w:eastAsia="zh-CN"/>
                    </w:rPr>
                    <w:t>周至县湑水河老县城村段</w:t>
                  </w:r>
                  <w:r>
                    <w:rPr>
                      <w:rFonts w:hint="default" w:ascii="Times New Roman" w:hAnsi="Times New Roman" w:cs="Times New Roman"/>
                      <w:color w:val="auto"/>
                      <w:sz w:val="21"/>
                      <w:szCs w:val="21"/>
                    </w:rPr>
                    <w:t>进行治理，主要建设护坡，提高河流的防洪能力</w:t>
                  </w:r>
                  <w:r>
                    <w:rPr>
                      <w:rFonts w:hint="default" w:ascii="Times New Roman" w:hAnsi="Times New Roman" w:cs="Times New Roman"/>
                      <w:color w:val="auto"/>
                      <w:sz w:val="21"/>
                      <w:szCs w:val="21"/>
                      <w:lang w:eastAsia="zh-CN"/>
                    </w:rPr>
                    <w:t>。</w:t>
                  </w:r>
                </w:p>
              </w:tc>
              <w:tc>
                <w:tcPr>
                  <w:tcW w:w="536" w:type="pct"/>
                  <w:vAlign w:val="center"/>
                </w:tcPr>
                <w:p w14:paraId="36A894D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符合</w:t>
                  </w:r>
                </w:p>
              </w:tc>
            </w:tr>
            <w:tr w14:paraId="6D2FB2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3A4EA90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《陕西省生态环境厅关于加强部分涉水生态类项目环境影响评价管理工作的通知》</w:t>
                  </w:r>
                </w:p>
              </w:tc>
              <w:tc>
                <w:tcPr>
                  <w:tcW w:w="2282" w:type="pct"/>
                  <w:vAlign w:val="center"/>
                </w:tcPr>
                <w:p w14:paraId="2F87C54A">
                  <w:pPr>
                    <w:spacing w:line="360" w:lineRule="atLeast"/>
                    <w:ind w:firstLine="0" w:firstLineChars="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河湖整治与防洪除涝工程类项目，应满足流域综合治理规划、防洪规划、生态环境保护等相关规划及规划环评要求，不得巧立名目，在河道综合治理建设项目环评文件中搭车与治理无关的其他建设内容。确需建设滨河公园、湿地公园等的，应单独办理环评手续，以水环境保护为重点，全面分析论证项目建设的必要性和环境可行性，不得随意采取改变河道形态、建设橡胶坝等形式打造城市景观。</w:t>
                  </w:r>
                </w:p>
              </w:tc>
              <w:tc>
                <w:tcPr>
                  <w:tcW w:w="1401" w:type="pct"/>
                  <w:vAlign w:val="center"/>
                </w:tcPr>
                <w:p w14:paraId="48D0674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本项目属于防洪除涝</w:t>
                  </w:r>
                  <w:r>
                    <w:rPr>
                      <w:rFonts w:hint="default" w:ascii="Times New Roman" w:hAnsi="Times New Roman" w:cs="Times New Roman"/>
                      <w:color w:val="auto"/>
                      <w:sz w:val="21"/>
                      <w:szCs w:val="21"/>
                      <w:lang w:val="en-US" w:eastAsia="zh-CN"/>
                    </w:rPr>
                    <w:t>、河湖整治</w:t>
                  </w:r>
                  <w:r>
                    <w:rPr>
                      <w:rFonts w:hint="default" w:ascii="Times New Roman" w:hAnsi="Times New Roman" w:cs="Times New Roman"/>
                      <w:color w:val="auto"/>
                      <w:sz w:val="21"/>
                      <w:szCs w:val="21"/>
                    </w:rPr>
                    <w:t>项目，项目建设满足流域综合治理规划、防洪规划、生态环境保护等相关规划及规划环评要求，建设内容为护岸等，均属于治理相关的</w:t>
                  </w:r>
                  <w:r>
                    <w:rPr>
                      <w:rFonts w:hint="default" w:ascii="Times New Roman" w:hAnsi="Times New Roman" w:cs="Times New Roman"/>
                      <w:color w:val="auto"/>
                      <w:sz w:val="21"/>
                      <w:szCs w:val="21"/>
                      <w:lang w:val="en-US" w:eastAsia="zh-CN"/>
                    </w:rPr>
                    <w:t>建设内容</w:t>
                  </w:r>
                  <w:r>
                    <w:rPr>
                      <w:rFonts w:hint="default" w:ascii="Times New Roman" w:hAnsi="Times New Roman" w:cs="Times New Roman"/>
                      <w:color w:val="auto"/>
                      <w:sz w:val="21"/>
                      <w:szCs w:val="21"/>
                    </w:rPr>
                    <w:t>。建设不更改河道形态，不建设橡胶坝等。</w:t>
                  </w:r>
                </w:p>
              </w:tc>
              <w:tc>
                <w:tcPr>
                  <w:tcW w:w="536" w:type="pct"/>
                  <w:vAlign w:val="center"/>
                </w:tcPr>
                <w:p w14:paraId="41D6AE8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符合</w:t>
                  </w:r>
                </w:p>
              </w:tc>
            </w:tr>
            <w:tr w14:paraId="038295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80" w:type="pct"/>
                  <w:vAlign w:val="center"/>
                </w:tcPr>
                <w:p w14:paraId="03D81A3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《陕西省水利厅转发水利部、环境保护部关于加强水利工程建设生态环境保护工作的通知》</w:t>
                  </w:r>
                </w:p>
              </w:tc>
              <w:tc>
                <w:tcPr>
                  <w:tcW w:w="2282" w:type="pct"/>
                  <w:vAlign w:val="center"/>
                </w:tcPr>
                <w:p w14:paraId="7B63A12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深化河湖治理论证。对河湖治理项目，要本着维护和恢复河湖自然连通性的原则，有效利用疏浚、岸线整治、滨河滨湖植被修复、排污口整治等工程手段，促进河湖休养生息。加强退耕还湖还湿综合整治。严禁违法围垦湖泊、挤占河道、蚕食水域、滥采河砂。处理好防洪除涝与生态保护的关系，尽量维持自然岸线，积极采用透水性的生态型岸坡防护材料和结构。处理好水沙调控与河流生境保护的关系，重视河流自然演变规律研究。</w:t>
                  </w:r>
                </w:p>
              </w:tc>
              <w:tc>
                <w:tcPr>
                  <w:tcW w:w="1401" w:type="pct"/>
                  <w:vAlign w:val="center"/>
                </w:tcPr>
                <w:p w14:paraId="2C4A013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项目建设内容为护岸，属于防洪除涝</w:t>
                  </w:r>
                  <w:r>
                    <w:rPr>
                      <w:rFonts w:hint="default" w:ascii="Times New Roman" w:hAnsi="Times New Roman" w:cs="Times New Roman"/>
                      <w:color w:val="auto"/>
                      <w:sz w:val="21"/>
                      <w:szCs w:val="21"/>
                      <w:lang w:val="en-US" w:eastAsia="zh-CN"/>
                    </w:rPr>
                    <w:t>、河湖整治</w:t>
                  </w:r>
                  <w:r>
                    <w:rPr>
                      <w:rFonts w:hint="default" w:ascii="Times New Roman" w:hAnsi="Times New Roman" w:cs="Times New Roman"/>
                      <w:color w:val="auto"/>
                      <w:sz w:val="21"/>
                      <w:szCs w:val="21"/>
                    </w:rPr>
                    <w:t>工程，不涉及围垦湖泊、挤占河道、</w:t>
                  </w:r>
                  <w:r>
                    <w:rPr>
                      <w:rFonts w:hint="eastAsia" w:cs="Times New Roman"/>
                      <w:color w:val="auto"/>
                      <w:sz w:val="21"/>
                      <w:szCs w:val="21"/>
                      <w:lang w:eastAsia="zh-CN"/>
                    </w:rPr>
                    <w:t>吞噬</w:t>
                  </w:r>
                  <w:r>
                    <w:rPr>
                      <w:rFonts w:hint="default" w:ascii="Times New Roman" w:hAnsi="Times New Roman" w:cs="Times New Roman"/>
                      <w:color w:val="auto"/>
                      <w:sz w:val="21"/>
                      <w:szCs w:val="21"/>
                    </w:rPr>
                    <w:t>水域、滥采河砂。</w:t>
                  </w:r>
                </w:p>
              </w:tc>
              <w:tc>
                <w:tcPr>
                  <w:tcW w:w="536" w:type="pct"/>
                  <w:vAlign w:val="center"/>
                </w:tcPr>
                <w:p w14:paraId="0853AAB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符合</w:t>
                  </w:r>
                </w:p>
              </w:tc>
            </w:tr>
          </w:tbl>
          <w:p w14:paraId="0C10002A">
            <w:pPr>
              <w:pStyle w:val="37"/>
              <w:ind w:firstLine="0" w:firstLineChars="0"/>
              <w:rPr>
                <w:b/>
                <w:bCs/>
                <w:color w:val="auto"/>
              </w:rPr>
            </w:pPr>
          </w:p>
        </w:tc>
      </w:tr>
    </w:tbl>
    <w:p w14:paraId="38D9FCC0">
      <w:pPr>
        <w:ind w:firstLine="480"/>
        <w:rPr>
          <w:color w:val="auto"/>
        </w:rPr>
        <w:sectPr>
          <w:headerReference r:id="rId3" w:type="default"/>
          <w:footerReference r:id="rId4" w:type="default"/>
          <w:pgSz w:w="11906" w:h="16838"/>
          <w:pgMar w:top="1440" w:right="1559" w:bottom="1440" w:left="1531" w:header="851" w:footer="992" w:gutter="0"/>
          <w:pgNumType w:start="1"/>
          <w:cols w:space="425" w:num="1"/>
          <w:docGrid w:type="lines" w:linePitch="326" w:charSpace="0"/>
        </w:sectPr>
      </w:pPr>
    </w:p>
    <w:p w14:paraId="1C6A9531">
      <w:pPr>
        <w:pStyle w:val="29"/>
        <w:rPr>
          <w:color w:val="auto"/>
        </w:rPr>
      </w:pPr>
      <w:r>
        <w:rPr>
          <w:rFonts w:hint="eastAsia"/>
          <w:color w:val="auto"/>
        </w:rPr>
        <w:t>二、建设内容</w:t>
      </w:r>
    </w:p>
    <w:tbl>
      <w:tblPr>
        <w:tblStyle w:val="1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9"/>
        <w:gridCol w:w="8173"/>
      </w:tblGrid>
      <w:tr w14:paraId="0A57C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59" w:type="dxa"/>
            <w:vAlign w:val="center"/>
          </w:tcPr>
          <w:p w14:paraId="204E6B80">
            <w:pPr>
              <w:pStyle w:val="37"/>
              <w:ind w:firstLine="0" w:firstLineChars="0"/>
              <w:jc w:val="center"/>
              <w:rPr>
                <w:color w:val="auto"/>
              </w:rPr>
            </w:pPr>
            <w:r>
              <w:rPr>
                <w:rFonts w:hint="eastAsia"/>
                <w:color w:val="auto"/>
              </w:rPr>
              <w:t>地理</w:t>
            </w:r>
          </w:p>
          <w:p w14:paraId="30FBABED">
            <w:pPr>
              <w:pStyle w:val="37"/>
              <w:ind w:firstLine="0" w:firstLineChars="0"/>
              <w:jc w:val="center"/>
              <w:rPr>
                <w:color w:val="auto"/>
              </w:rPr>
            </w:pPr>
            <w:r>
              <w:rPr>
                <w:rFonts w:hint="eastAsia"/>
                <w:color w:val="auto"/>
              </w:rPr>
              <w:t>位置</w:t>
            </w:r>
          </w:p>
        </w:tc>
        <w:tc>
          <w:tcPr>
            <w:tcW w:w="8173" w:type="dxa"/>
            <w:vAlign w:val="center"/>
          </w:tcPr>
          <w:p w14:paraId="421D8A60">
            <w:pPr>
              <w:pStyle w:val="37"/>
              <w:ind w:firstLine="480"/>
              <w:rPr>
                <w:rFonts w:hint="eastAsia" w:eastAsia="宋体"/>
                <w:color w:val="auto"/>
                <w:lang w:val="en-US" w:eastAsia="zh-CN"/>
              </w:rPr>
            </w:pPr>
            <w:r>
              <w:rPr>
                <w:rFonts w:hint="eastAsia" w:eastAsia="宋体"/>
                <w:color w:val="auto"/>
                <w:lang w:val="en-US" w:eastAsia="zh-CN"/>
              </w:rPr>
              <w:t>根据初步设计，本工程</w:t>
            </w:r>
            <w:r>
              <w:rPr>
                <w:rFonts w:hint="eastAsia"/>
                <w:color w:val="auto"/>
                <w:lang w:val="en-US" w:eastAsia="zh-CN"/>
              </w:rPr>
              <w:t>保护范围</w:t>
            </w:r>
            <w:r>
              <w:rPr>
                <w:rFonts w:hint="eastAsia" w:eastAsia="宋体"/>
                <w:color w:val="auto"/>
                <w:lang w:val="en-US" w:eastAsia="zh-CN"/>
              </w:rPr>
              <w:t>内</w:t>
            </w:r>
            <w:r>
              <w:rPr>
                <w:rFonts w:hint="eastAsia"/>
                <w:color w:val="auto"/>
                <w:lang w:val="en-US" w:eastAsia="zh-CN"/>
              </w:rPr>
              <w:t>以</w:t>
            </w:r>
            <w:r>
              <w:rPr>
                <w:rFonts w:hint="eastAsia" w:eastAsia="宋体"/>
                <w:color w:val="auto"/>
                <w:lang w:val="en-US" w:eastAsia="zh-CN"/>
              </w:rPr>
              <w:t>古城墙遗址、房屋及农田为主</w:t>
            </w:r>
          </w:p>
          <w:p w14:paraId="6CD768A4">
            <w:pPr>
              <w:pStyle w:val="37"/>
              <w:ind w:left="0" w:leftChars="0" w:firstLine="0" w:firstLineChars="0"/>
              <w:rPr>
                <w:rFonts w:hint="default" w:eastAsia="宋体"/>
                <w:color w:val="auto"/>
                <w:lang w:val="en-US" w:eastAsia="zh-CN"/>
              </w:rPr>
            </w:pPr>
            <w:r>
              <w:rPr>
                <w:rFonts w:hint="eastAsia" w:eastAsia="宋体"/>
                <w:color w:val="auto"/>
                <w:lang w:val="en-US" w:eastAsia="zh-CN"/>
              </w:rPr>
              <w:t>防护区人口180人，农田面积617万亩，堤防建设防洪标准为20年一遇洪水，确定护岸级别为4级</w:t>
            </w:r>
            <w:r>
              <w:rPr>
                <w:rFonts w:hint="default" w:eastAsia="宋体"/>
                <w:color w:val="auto"/>
                <w:lang w:val="en-US" w:eastAsia="zh-CN"/>
              </w:rPr>
              <w:t>。</w:t>
            </w:r>
            <w:r>
              <w:rPr>
                <w:rFonts w:hint="default" w:ascii="Times New Roman" w:hAnsi="Times New Roman" w:cs="Times New Roman"/>
                <w:color w:val="auto"/>
                <w:lang w:val="en-US" w:eastAsia="zh-CN"/>
              </w:rPr>
              <w:t>，根据《建设项目环境影响评价分类管理名录》（2021年版），属于“五十一、水利”中“127-防洪除涝工程”。本项目不属于“新建大中型”，属于“其他”，因此应编制环境影响报告表。</w:t>
            </w:r>
          </w:p>
          <w:p w14:paraId="653A07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本项目为湑水河老县城村段防洪治理工程，项目区起点坐标：</w:t>
            </w:r>
            <w:r>
              <w:rPr>
                <w:rFonts w:hint="default" w:ascii="Times New Roman" w:hAnsi="Times New Roman" w:eastAsia="宋体" w:cs="Times New Roman"/>
                <w:color w:val="auto"/>
                <w:kern w:val="2"/>
                <w:sz w:val="24"/>
                <w:szCs w:val="24"/>
                <w:lang w:val="en-US" w:eastAsia="zh-CN" w:bidi="ar-SA"/>
              </w:rPr>
              <w:t>东经107°44′14.92″，北纬33°48′23.14″，终点坐标：东经107°45′35.64″，北纬33°47′37.13″</w:t>
            </w:r>
            <w:r>
              <w:rPr>
                <w:rFonts w:hint="eastAsia" w:ascii="Times New Roman" w:hAnsi="Times New Roman" w:eastAsia="宋体" w:cs="Times New Roman"/>
                <w:color w:val="auto"/>
                <w:kern w:val="2"/>
                <w:sz w:val="24"/>
                <w:szCs w:val="24"/>
                <w:lang w:val="en-US" w:eastAsia="zh-CN" w:bidi="ar-SA"/>
              </w:rPr>
              <w:t>。项目附近有G310国道通过，交通相对便利。</w:t>
            </w:r>
          </w:p>
          <w:p w14:paraId="5518491C">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eastAsia="宋体"/>
                <w:color w:val="auto"/>
              </w:rPr>
            </w:pPr>
            <w:r>
              <w:rPr>
                <w:rFonts w:hint="eastAsia" w:ascii="Times New Roman" w:hAnsi="Times New Roman" w:eastAsia="宋体" w:cs="Times New Roman"/>
                <w:color w:val="auto"/>
                <w:kern w:val="2"/>
                <w:sz w:val="24"/>
                <w:szCs w:val="24"/>
                <w:lang w:val="en-US" w:eastAsia="zh-CN" w:bidi="ar-SA"/>
              </w:rPr>
              <w:t>项目地理位置详见附图1，环境保护目标分布及四邻关系详见附图</w:t>
            </w:r>
            <w:r>
              <w:rPr>
                <w:rFonts w:hint="default" w:ascii="Times New Roman" w:hAnsi="Times New Roman" w:eastAsia="宋体"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p>
        </w:tc>
      </w:tr>
      <w:tr w14:paraId="50B0B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59" w:type="dxa"/>
            <w:vAlign w:val="center"/>
          </w:tcPr>
          <w:p w14:paraId="46679C3F">
            <w:pPr>
              <w:pStyle w:val="37"/>
              <w:ind w:firstLine="0" w:firstLineChars="0"/>
              <w:jc w:val="center"/>
              <w:rPr>
                <w:color w:val="auto"/>
              </w:rPr>
            </w:pPr>
            <w:r>
              <w:rPr>
                <w:rFonts w:hint="eastAsia"/>
                <w:color w:val="auto"/>
              </w:rPr>
              <w:t>项目</w:t>
            </w:r>
          </w:p>
          <w:p w14:paraId="22309204">
            <w:pPr>
              <w:pStyle w:val="37"/>
              <w:ind w:firstLine="0" w:firstLineChars="0"/>
              <w:jc w:val="center"/>
              <w:rPr>
                <w:color w:val="auto"/>
              </w:rPr>
            </w:pPr>
            <w:r>
              <w:rPr>
                <w:rFonts w:hint="eastAsia"/>
                <w:color w:val="auto"/>
              </w:rPr>
              <w:t>组成</w:t>
            </w:r>
          </w:p>
          <w:p w14:paraId="04342BBA">
            <w:pPr>
              <w:pStyle w:val="37"/>
              <w:ind w:firstLine="0" w:firstLineChars="0"/>
              <w:jc w:val="center"/>
              <w:rPr>
                <w:color w:val="auto"/>
              </w:rPr>
            </w:pPr>
            <w:r>
              <w:rPr>
                <w:rFonts w:hint="eastAsia"/>
                <w:color w:val="auto"/>
              </w:rPr>
              <w:t>及规</w:t>
            </w:r>
          </w:p>
          <w:p w14:paraId="4E84C95E">
            <w:pPr>
              <w:pStyle w:val="37"/>
              <w:ind w:firstLine="0" w:firstLineChars="0"/>
              <w:jc w:val="center"/>
              <w:rPr>
                <w:color w:val="auto"/>
              </w:rPr>
            </w:pPr>
            <w:r>
              <w:rPr>
                <w:rFonts w:hint="eastAsia"/>
                <w:color w:val="auto"/>
              </w:rPr>
              <w:t>模</w:t>
            </w:r>
          </w:p>
        </w:tc>
        <w:tc>
          <w:tcPr>
            <w:tcW w:w="8173" w:type="dxa"/>
            <w:vAlign w:val="center"/>
          </w:tcPr>
          <w:p w14:paraId="6B5257DA">
            <w:pPr>
              <w:pStyle w:val="37"/>
              <w:ind w:firstLine="482"/>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、项目组成</w:t>
            </w:r>
          </w:p>
          <w:p w14:paraId="448AB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综合治理河段总长约2.71km，布设护岸长度2.78km（左岸护岸长度2710m，右岸护岸长度70m）及其它附属工程（排水渠2条，长度80m）。工程等别为V级，护岸工程级别为4级，主要建筑物级别为4级，工程防洪标准为20年一遇洪水,相应流量为245m3/s。</w:t>
            </w:r>
          </w:p>
          <w:p w14:paraId="578ABAA2">
            <w:pPr>
              <w:pStyle w:val="3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项目建设内容一览表见表</w:t>
            </w:r>
            <w:r>
              <w:rPr>
                <w:rFonts w:hint="eastAsia"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w:t>
            </w:r>
          </w:p>
          <w:p w14:paraId="5E1372A1">
            <w:pPr>
              <w:pStyle w:val="35"/>
              <w:ind w:firstLine="480"/>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表</w:t>
            </w:r>
            <w:r>
              <w:rPr>
                <w:rFonts w:hint="eastAsia" w:cs="Times New Roman"/>
                <w:color w:val="auto"/>
                <w:kern w:val="2"/>
                <w:sz w:val="24"/>
                <w:szCs w:val="24"/>
                <w:lang w:val="en-US" w:eastAsia="zh-CN" w:bidi="ar-SA"/>
              </w:rPr>
              <w:t xml:space="preserve">5   </w:t>
            </w:r>
            <w:r>
              <w:rPr>
                <w:rFonts w:hint="eastAsia" w:ascii="Times New Roman" w:hAnsi="Times New Roman" w:eastAsia="宋体" w:cs="Times New Roman"/>
                <w:color w:val="auto"/>
                <w:kern w:val="2"/>
                <w:sz w:val="24"/>
                <w:szCs w:val="24"/>
                <w:lang w:val="en-US" w:eastAsia="zh-CN" w:bidi="ar-SA"/>
              </w:rPr>
              <w:t>项目建设内容一览表</w:t>
            </w:r>
          </w:p>
          <w:tbl>
            <w:tblPr>
              <w:tblStyle w:val="1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470"/>
              <w:gridCol w:w="376"/>
              <w:gridCol w:w="568"/>
              <w:gridCol w:w="5797"/>
              <w:gridCol w:w="743"/>
            </w:tblGrid>
            <w:tr w14:paraId="1122DF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vAlign w:val="center"/>
                </w:tcPr>
                <w:p w14:paraId="2E6F8EA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项目组成</w:t>
                  </w:r>
                </w:p>
              </w:tc>
              <w:tc>
                <w:tcPr>
                  <w:tcW w:w="593" w:type="pct"/>
                  <w:gridSpan w:val="2"/>
                  <w:noWrap w:val="0"/>
                  <w:vAlign w:val="center"/>
                </w:tcPr>
                <w:p w14:paraId="3A0A90E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名称</w:t>
                  </w:r>
                </w:p>
              </w:tc>
              <w:tc>
                <w:tcPr>
                  <w:tcW w:w="3644" w:type="pct"/>
                  <w:noWrap w:val="0"/>
                  <w:vAlign w:val="center"/>
                </w:tcPr>
                <w:p w14:paraId="67D58B5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建设内容</w:t>
                  </w:r>
                </w:p>
              </w:tc>
              <w:tc>
                <w:tcPr>
                  <w:tcW w:w="467" w:type="pct"/>
                  <w:noWrap w:val="0"/>
                  <w:vAlign w:val="center"/>
                </w:tcPr>
                <w:p w14:paraId="05179AB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备注</w:t>
                  </w:r>
                </w:p>
              </w:tc>
            </w:tr>
            <w:tr w14:paraId="273189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noWrap w:val="0"/>
                  <w:vAlign w:val="center"/>
                </w:tcPr>
                <w:p w14:paraId="6995C81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主体工程</w:t>
                  </w:r>
                </w:p>
              </w:tc>
              <w:tc>
                <w:tcPr>
                  <w:tcW w:w="593" w:type="pct"/>
                  <w:gridSpan w:val="2"/>
                  <w:noWrap w:val="0"/>
                  <w:vAlign w:val="center"/>
                </w:tcPr>
                <w:p w14:paraId="1039D343">
                  <w:pPr>
                    <w:pStyle w:val="28"/>
                    <w:jc w:val="both"/>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护岸工程</w:t>
                  </w:r>
                </w:p>
              </w:tc>
              <w:tc>
                <w:tcPr>
                  <w:tcW w:w="3644" w:type="pct"/>
                  <w:noWrap w:val="0"/>
                  <w:vAlign w:val="top"/>
                </w:tcPr>
                <w:p w14:paraId="46BC8219">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左岸修建长度为2.71km，右岸修建长度为0.07km，基础为C20埋石砼浇筑，埋深1.2m，基础宽度</w:t>
                  </w:r>
                  <w:r>
                    <w:rPr>
                      <w:rFonts w:hint="default" w:ascii="Times New Roman" w:hAnsi="Times New Roman" w:eastAsia="宋体" w:cs="Times New Roman"/>
                      <w:color w:val="auto"/>
                      <w:kern w:val="2"/>
                      <w:sz w:val="21"/>
                      <w:szCs w:val="21"/>
                      <w:lang w:val="en-US" w:eastAsia="zh-CN" w:bidi="ar-SA"/>
                    </w:rPr>
                    <w:t>2.5m，每隔10m设一个沉降缝，缝宽2cm，填充聚乙烯泡沫板；挡墙为钢筋石笼，呈台阶式布置，层高1m，共三层</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顶层铺砂砾石填充石笼缝隙。确定护岸型式宜采用钢筋石笼护岸。</w:t>
                  </w:r>
                </w:p>
              </w:tc>
              <w:tc>
                <w:tcPr>
                  <w:tcW w:w="467" w:type="pct"/>
                  <w:noWrap w:val="0"/>
                  <w:vAlign w:val="center"/>
                </w:tcPr>
                <w:p w14:paraId="6C6CAB6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309BEA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295" w:type="pct"/>
                  <w:vMerge w:val="restart"/>
                  <w:noWrap w:val="0"/>
                  <w:vAlign w:val="center"/>
                </w:tcPr>
                <w:p w14:paraId="3A7DFD4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辅助工程</w:t>
                  </w:r>
                </w:p>
              </w:tc>
              <w:tc>
                <w:tcPr>
                  <w:tcW w:w="236" w:type="pct"/>
                  <w:vMerge w:val="restart"/>
                  <w:noWrap w:val="0"/>
                  <w:vAlign w:val="center"/>
                </w:tcPr>
                <w:p w14:paraId="147105E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施工导流</w:t>
                  </w:r>
                </w:p>
              </w:tc>
              <w:tc>
                <w:tcPr>
                  <w:tcW w:w="356" w:type="pct"/>
                  <w:noWrap w:val="0"/>
                  <w:vAlign w:val="center"/>
                </w:tcPr>
                <w:p w14:paraId="4B2AFF9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导流</w:t>
                  </w:r>
                </w:p>
                <w:p w14:paraId="1CCF865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标准</w:t>
                  </w:r>
                </w:p>
              </w:tc>
              <w:tc>
                <w:tcPr>
                  <w:tcW w:w="3644" w:type="pct"/>
                  <w:noWrap w:val="0"/>
                  <w:vAlign w:val="center"/>
                </w:tcPr>
                <w:p w14:paraId="04CE86F1">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本工程主要建构筑物</w:t>
                  </w:r>
                  <w:r>
                    <w:rPr>
                      <w:rFonts w:hint="eastAsia" w:ascii="Times New Roman" w:hAnsi="Times New Roman" w:eastAsia="宋体" w:cs="Times New Roman"/>
                      <w:color w:val="auto"/>
                      <w:kern w:val="2"/>
                      <w:sz w:val="21"/>
                      <w:szCs w:val="21"/>
                      <w:lang w:val="en-US" w:eastAsia="zh-CN" w:bidi="ar-SA"/>
                    </w:rPr>
                    <w:t>4</w:t>
                  </w:r>
                  <w:r>
                    <w:rPr>
                      <w:rFonts w:hint="default" w:ascii="Times New Roman" w:hAnsi="Times New Roman" w:eastAsia="宋体" w:cs="Times New Roman"/>
                      <w:color w:val="auto"/>
                      <w:kern w:val="2"/>
                      <w:sz w:val="21"/>
                      <w:szCs w:val="21"/>
                      <w:lang w:val="en-US" w:eastAsia="zh-CN" w:bidi="ar-SA"/>
                    </w:rPr>
                    <w:t>级，结合本次工程实际情况，主体工程安排在枯水期施工，导流标准采用5年一遇（枯水期）（11月</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次年4月）洪水。</w:t>
                  </w:r>
                </w:p>
              </w:tc>
              <w:tc>
                <w:tcPr>
                  <w:tcW w:w="467" w:type="pct"/>
                  <w:noWrap w:val="0"/>
                  <w:vAlign w:val="center"/>
                </w:tcPr>
                <w:p w14:paraId="0362A51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w:t>
                  </w:r>
                </w:p>
              </w:tc>
            </w:tr>
            <w:tr w14:paraId="40B52F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Merge w:val="continue"/>
                  <w:noWrap w:val="0"/>
                  <w:vAlign w:val="center"/>
                </w:tcPr>
                <w:p w14:paraId="79AC2CF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236" w:type="pct"/>
                  <w:vMerge w:val="continue"/>
                  <w:noWrap w:val="0"/>
                  <w:vAlign w:val="center"/>
                </w:tcPr>
                <w:p w14:paraId="4662569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356" w:type="pct"/>
                  <w:noWrap w:val="0"/>
                  <w:vAlign w:val="center"/>
                </w:tcPr>
                <w:p w14:paraId="3E16EFC5">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导流</w:t>
                  </w:r>
                </w:p>
                <w:p w14:paraId="1E828167">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方式</w:t>
                  </w:r>
                </w:p>
              </w:tc>
              <w:tc>
                <w:tcPr>
                  <w:tcW w:w="3644" w:type="pct"/>
                  <w:noWrap w:val="0"/>
                  <w:vAlign w:val="center"/>
                </w:tcPr>
                <w:p w14:paraId="764145F9">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本</w:t>
                  </w:r>
                  <w:r>
                    <w:rPr>
                      <w:rFonts w:hint="default" w:ascii="Times New Roman" w:hAnsi="Times New Roman" w:eastAsia="宋体" w:cs="Times New Roman"/>
                      <w:color w:val="auto"/>
                      <w:kern w:val="2"/>
                      <w:sz w:val="21"/>
                      <w:szCs w:val="21"/>
                      <w:lang w:val="en-US" w:eastAsia="zh-CN" w:bidi="ar-SA"/>
                    </w:rPr>
                    <w:t>着就地取材，充分利用开挖料和便于施工等目的，各段护岸施工采用土石围堰。围堰采用坡面铺设人工塑料布防渗，堰体采用砂砾石编织袋护坡。</w:t>
                  </w:r>
                </w:p>
              </w:tc>
              <w:tc>
                <w:tcPr>
                  <w:tcW w:w="467" w:type="pct"/>
                  <w:noWrap w:val="0"/>
                  <w:vAlign w:val="center"/>
                </w:tcPr>
                <w:p w14:paraId="654BCFA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7047A9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295" w:type="pct"/>
                  <w:vMerge w:val="continue"/>
                  <w:noWrap w:val="0"/>
                  <w:vAlign w:val="center"/>
                </w:tcPr>
                <w:p w14:paraId="7265AED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236" w:type="pct"/>
                  <w:vMerge w:val="continue"/>
                  <w:noWrap w:val="0"/>
                  <w:vAlign w:val="center"/>
                </w:tcPr>
                <w:p w14:paraId="3664E9E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356" w:type="pct"/>
                  <w:noWrap w:val="0"/>
                  <w:vAlign w:val="center"/>
                </w:tcPr>
                <w:p w14:paraId="5D6D0D2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导流</w:t>
                  </w:r>
                </w:p>
                <w:p w14:paraId="78F79352">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建筑物</w:t>
                  </w:r>
                </w:p>
              </w:tc>
              <w:tc>
                <w:tcPr>
                  <w:tcW w:w="3644" w:type="pct"/>
                  <w:noWrap w:val="0"/>
                  <w:vAlign w:val="center"/>
                </w:tcPr>
                <w:p w14:paraId="730D7A29">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堰体填筑材料可利用护岸基础开挖料，不足部分就近开采选取，开挖运输采用1m³反铲挖掘机配翻斗车。堰体填筑需配人工蛙式打夯机压实。砂砾石编织袋护面采用人工铺设。</w:t>
                  </w:r>
                </w:p>
              </w:tc>
              <w:tc>
                <w:tcPr>
                  <w:tcW w:w="467" w:type="pct"/>
                  <w:noWrap w:val="0"/>
                  <w:vAlign w:val="center"/>
                </w:tcPr>
                <w:p w14:paraId="26FB410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4EF529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295" w:type="pct"/>
                  <w:vMerge w:val="continue"/>
                  <w:noWrap w:val="0"/>
                  <w:vAlign w:val="center"/>
                </w:tcPr>
                <w:p w14:paraId="288AF59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4C3CA22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临时库房</w:t>
                  </w:r>
                </w:p>
              </w:tc>
              <w:tc>
                <w:tcPr>
                  <w:tcW w:w="3644" w:type="pct"/>
                  <w:noWrap w:val="0"/>
                  <w:vAlign w:val="center"/>
                </w:tcPr>
                <w:p w14:paraId="199DC89E">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工程段沿岸均有开阔场地可用于施工临建房屋及施工仓库等布置，部分施工临时用房可租用附近村庄房屋。</w:t>
                  </w:r>
                </w:p>
              </w:tc>
              <w:tc>
                <w:tcPr>
                  <w:tcW w:w="467" w:type="pct"/>
                  <w:noWrap w:val="0"/>
                  <w:vAlign w:val="center"/>
                </w:tcPr>
                <w:p w14:paraId="12C2531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68595A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295" w:type="pct"/>
                  <w:vMerge w:val="continue"/>
                  <w:noWrap w:val="0"/>
                  <w:vAlign w:val="center"/>
                </w:tcPr>
                <w:p w14:paraId="63DF851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1A80C04B">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生活办公营地</w:t>
                  </w:r>
                </w:p>
              </w:tc>
              <w:tc>
                <w:tcPr>
                  <w:tcW w:w="3644" w:type="pct"/>
                  <w:noWrap w:val="0"/>
                  <w:vAlign w:val="center"/>
                </w:tcPr>
                <w:p w14:paraId="22308D5F">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管理人员办</w:t>
                  </w:r>
                  <w:r>
                    <w:rPr>
                      <w:rFonts w:hint="eastAsia" w:cs="Times New Roman"/>
                      <w:color w:val="auto"/>
                      <w:kern w:val="2"/>
                      <w:sz w:val="21"/>
                      <w:szCs w:val="21"/>
                      <w:lang w:val="en-US" w:eastAsia="zh-CN" w:bidi="ar-SA"/>
                    </w:rPr>
                    <w:t>公室</w:t>
                  </w:r>
                  <w:r>
                    <w:rPr>
                      <w:rFonts w:hint="default" w:ascii="Times New Roman" w:hAnsi="Times New Roman" w:eastAsia="宋体" w:cs="Times New Roman"/>
                      <w:color w:val="auto"/>
                      <w:kern w:val="2"/>
                      <w:sz w:val="21"/>
                      <w:szCs w:val="21"/>
                      <w:lang w:val="en-US" w:eastAsia="zh-CN" w:bidi="ar-SA"/>
                    </w:rPr>
                    <w:t>设在周至县四小河流管理站内，满足需要，本次设计不再增加</w:t>
                  </w:r>
                  <w:r>
                    <w:rPr>
                      <w:rFonts w:hint="eastAsia" w:ascii="Times New Roman" w:hAnsi="Times New Roman" w:eastAsia="宋体" w:cs="Times New Roman"/>
                      <w:color w:val="auto"/>
                      <w:kern w:val="2"/>
                      <w:sz w:val="21"/>
                      <w:szCs w:val="21"/>
                      <w:lang w:val="en-US" w:eastAsia="zh-CN" w:bidi="ar-SA"/>
                    </w:rPr>
                    <w:t>，</w:t>
                  </w:r>
                  <w:r>
                    <w:rPr>
                      <w:rFonts w:hint="eastAsia" w:cs="Times New Roman"/>
                      <w:color w:val="auto"/>
                      <w:kern w:val="2"/>
                      <w:sz w:val="21"/>
                      <w:szCs w:val="21"/>
                      <w:lang w:val="en-US" w:eastAsia="zh-CN" w:bidi="ar-SA"/>
                    </w:rPr>
                    <w:t>临时办公区设置在湑水河左岸空旷地带</w:t>
                  </w:r>
                  <w:r>
                    <w:rPr>
                      <w:rFonts w:hint="default" w:ascii="Times New Roman" w:hAnsi="Times New Roman" w:eastAsia="宋体" w:cs="Times New Roman"/>
                      <w:color w:val="auto"/>
                      <w:kern w:val="2"/>
                      <w:sz w:val="21"/>
                      <w:szCs w:val="21"/>
                      <w:lang w:val="en-US" w:eastAsia="zh-CN" w:bidi="ar-SA"/>
                    </w:rPr>
                    <w:t>。</w:t>
                  </w:r>
                </w:p>
              </w:tc>
              <w:tc>
                <w:tcPr>
                  <w:tcW w:w="467" w:type="pct"/>
                  <w:noWrap w:val="0"/>
                  <w:vAlign w:val="center"/>
                </w:tcPr>
                <w:p w14:paraId="3F9A610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476B9A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Merge w:val="continue"/>
                  <w:noWrap w:val="0"/>
                  <w:vAlign w:val="center"/>
                </w:tcPr>
                <w:p w14:paraId="18A4310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6AC88B4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临时堆土区</w:t>
                  </w:r>
                </w:p>
              </w:tc>
              <w:tc>
                <w:tcPr>
                  <w:tcW w:w="3644" w:type="pct"/>
                  <w:noWrap w:val="0"/>
                  <w:vAlign w:val="center"/>
                </w:tcPr>
                <w:p w14:paraId="05306F95">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根据本工程施工需要及施工工序，在工程沿线设置临时堆土区，用于临时堆放待回填利用的土方。在本项目工程沿线起点及终点外侧设临时堆土区，临时堆土区为临时占地</w:t>
                  </w:r>
                  <w:r>
                    <w:rPr>
                      <w:rFonts w:hint="eastAsia" w:cs="Times New Roman"/>
                      <w:color w:val="auto"/>
                      <w:kern w:val="2"/>
                      <w:sz w:val="21"/>
                      <w:szCs w:val="21"/>
                      <w:lang w:val="en-US" w:eastAsia="zh-CN" w:bidi="ar-SA"/>
                    </w:rPr>
                    <w:t>。</w:t>
                  </w:r>
                </w:p>
              </w:tc>
              <w:tc>
                <w:tcPr>
                  <w:tcW w:w="467" w:type="pct"/>
                  <w:noWrap w:val="0"/>
                  <w:vAlign w:val="center"/>
                </w:tcPr>
                <w:p w14:paraId="6AD644F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0D3FF7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Merge w:val="continue"/>
                  <w:noWrap w:val="0"/>
                  <w:vAlign w:val="center"/>
                </w:tcPr>
                <w:p w14:paraId="1D1CDD4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7987F75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临时排水沟</w:t>
                  </w:r>
                </w:p>
              </w:tc>
              <w:tc>
                <w:tcPr>
                  <w:tcW w:w="3644" w:type="pct"/>
                  <w:noWrap w:val="0"/>
                  <w:vAlign w:val="center"/>
                </w:tcPr>
                <w:p w14:paraId="4D82FB65">
                  <w:pPr>
                    <w:keepNext w:val="0"/>
                    <w:keepLines w:val="0"/>
                    <w:widowControl/>
                    <w:suppressLineNumbers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道路两侧应开挖临时排水沟。</w:t>
                  </w:r>
                </w:p>
              </w:tc>
              <w:tc>
                <w:tcPr>
                  <w:tcW w:w="467" w:type="pct"/>
                  <w:noWrap w:val="0"/>
                  <w:vAlign w:val="center"/>
                </w:tcPr>
                <w:p w14:paraId="0AA4692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1D0600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Merge w:val="continue"/>
                  <w:noWrap w:val="0"/>
                  <w:vAlign w:val="center"/>
                </w:tcPr>
                <w:p w14:paraId="69BFA45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31E75BE7">
                  <w:pPr>
                    <w:pStyle w:val="28"/>
                    <w:jc w:val="both"/>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砼排水渠</w:t>
                  </w:r>
                </w:p>
              </w:tc>
              <w:tc>
                <w:tcPr>
                  <w:tcW w:w="3644" w:type="pct"/>
                  <w:noWrap w:val="0"/>
                  <w:vAlign w:val="top"/>
                </w:tcPr>
                <w:p w14:paraId="5A6D1171">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修建长度为80m。为混凝土结构。</w:t>
                  </w:r>
                </w:p>
              </w:tc>
              <w:tc>
                <w:tcPr>
                  <w:tcW w:w="467" w:type="pct"/>
                  <w:noWrap w:val="0"/>
                  <w:vAlign w:val="center"/>
                </w:tcPr>
                <w:p w14:paraId="083C2CAA">
                  <w:pPr>
                    <w:spacing w:line="360" w:lineRule="atLeast"/>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14FE18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95" w:type="pct"/>
                  <w:vMerge w:val="continue"/>
                  <w:noWrap w:val="0"/>
                  <w:vAlign w:val="center"/>
                </w:tcPr>
                <w:p w14:paraId="479B8E5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0356AC8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弃土场</w:t>
                  </w:r>
                </w:p>
              </w:tc>
              <w:tc>
                <w:tcPr>
                  <w:tcW w:w="3644" w:type="pct"/>
                  <w:noWrap w:val="0"/>
                  <w:vAlign w:val="center"/>
                </w:tcPr>
                <w:p w14:paraId="1301156C">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w:t>
                  </w:r>
                  <w:r>
                    <w:rPr>
                      <w:rFonts w:hint="eastAsia" w:cs="Times New Roman"/>
                      <w:color w:val="auto"/>
                      <w:kern w:val="2"/>
                      <w:sz w:val="21"/>
                      <w:szCs w:val="21"/>
                      <w:lang w:val="en-US" w:eastAsia="zh-CN" w:bidi="ar-SA"/>
                    </w:rPr>
                    <w:t>不设置</w:t>
                  </w:r>
                  <w:r>
                    <w:rPr>
                      <w:rFonts w:hint="default" w:ascii="Times New Roman" w:hAnsi="Times New Roman" w:eastAsia="宋体" w:cs="Times New Roman"/>
                      <w:color w:val="auto"/>
                      <w:kern w:val="2"/>
                      <w:sz w:val="21"/>
                      <w:szCs w:val="21"/>
                      <w:lang w:val="en-US" w:eastAsia="zh-CN" w:bidi="ar-SA"/>
                    </w:rPr>
                    <w:t>弃土场</w:t>
                  </w:r>
                  <w:r>
                    <w:rPr>
                      <w:rFonts w:hint="eastAsia" w:cs="Times New Roman"/>
                      <w:color w:val="auto"/>
                      <w:kern w:val="2"/>
                      <w:sz w:val="21"/>
                      <w:szCs w:val="21"/>
                      <w:lang w:val="en-US" w:eastAsia="zh-CN" w:bidi="ar-SA"/>
                    </w:rPr>
                    <w:t>，多余土方用于还田造地</w:t>
                  </w:r>
                  <w:r>
                    <w:rPr>
                      <w:rFonts w:hint="default" w:ascii="Times New Roman" w:hAnsi="Times New Roman" w:eastAsia="宋体" w:cs="Times New Roman"/>
                      <w:color w:val="auto"/>
                      <w:kern w:val="2"/>
                      <w:sz w:val="21"/>
                      <w:szCs w:val="21"/>
                      <w:lang w:val="en-US" w:eastAsia="zh-CN" w:bidi="ar-SA"/>
                    </w:rPr>
                    <w:t>。</w:t>
                  </w:r>
                </w:p>
              </w:tc>
              <w:tc>
                <w:tcPr>
                  <w:tcW w:w="467" w:type="pct"/>
                  <w:noWrap w:val="0"/>
                  <w:vAlign w:val="center"/>
                </w:tcPr>
                <w:p w14:paraId="557EEB6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新建</w:t>
                  </w:r>
                </w:p>
              </w:tc>
            </w:tr>
            <w:tr w14:paraId="348819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77" w:hRule="atLeast"/>
                <w:jc w:val="center"/>
              </w:trPr>
              <w:tc>
                <w:tcPr>
                  <w:tcW w:w="295" w:type="pct"/>
                  <w:vMerge w:val="continue"/>
                  <w:noWrap w:val="0"/>
                  <w:vAlign w:val="center"/>
                </w:tcPr>
                <w:p w14:paraId="13AD2BD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7F4D1A83">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施工便道</w:t>
                  </w:r>
                </w:p>
              </w:tc>
              <w:tc>
                <w:tcPr>
                  <w:tcW w:w="3644" w:type="pct"/>
                  <w:noWrap w:val="0"/>
                  <w:vAlign w:val="center"/>
                </w:tcPr>
                <w:p w14:paraId="32D3B6E9">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rPr>
                    <w:t>本工程施工设置专门的施工便道，</w:t>
                  </w:r>
                  <w:r>
                    <w:rPr>
                      <w:rFonts w:hint="eastAsia"/>
                      <w:color w:val="auto"/>
                      <w:sz w:val="21"/>
                      <w:szCs w:val="21"/>
                    </w:rPr>
                    <w:t>施工道路区占地面积0.63hm</w:t>
                  </w:r>
                  <w:r>
                    <w:rPr>
                      <w:rFonts w:hint="eastAsia"/>
                      <w:color w:val="auto"/>
                      <w:sz w:val="21"/>
                      <w:szCs w:val="21"/>
                      <w:vertAlign w:val="superscript"/>
                    </w:rPr>
                    <w:t>2</w:t>
                  </w:r>
                  <w:r>
                    <w:rPr>
                      <w:rFonts w:hint="eastAsia"/>
                      <w:color w:val="auto"/>
                      <w:sz w:val="21"/>
                      <w:szCs w:val="21"/>
                    </w:rPr>
                    <w:t>，占地性质</w:t>
                  </w:r>
                  <w:r>
                    <w:rPr>
                      <w:rFonts w:hint="eastAsia"/>
                      <w:color w:val="auto"/>
                      <w:sz w:val="21"/>
                      <w:szCs w:val="21"/>
                      <w:lang w:eastAsia="zh-CN"/>
                    </w:rPr>
                    <w:t>为</w:t>
                  </w:r>
                  <w:r>
                    <w:rPr>
                      <w:rFonts w:hint="eastAsia"/>
                      <w:color w:val="auto"/>
                      <w:sz w:val="21"/>
                      <w:szCs w:val="21"/>
                      <w:lang w:val="en-US" w:eastAsia="zh-CN"/>
                    </w:rPr>
                    <w:t>临时占地</w:t>
                  </w:r>
                  <w:r>
                    <w:rPr>
                      <w:rFonts w:hint="eastAsia"/>
                      <w:color w:val="auto"/>
                      <w:sz w:val="21"/>
                      <w:szCs w:val="21"/>
                    </w:rPr>
                    <w:t>。</w:t>
                  </w:r>
                </w:p>
              </w:tc>
              <w:tc>
                <w:tcPr>
                  <w:tcW w:w="467" w:type="pct"/>
                  <w:noWrap w:val="0"/>
                  <w:vAlign w:val="center"/>
                </w:tcPr>
                <w:p w14:paraId="6C1ADB4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4C92FF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vMerge w:val="restart"/>
                  <w:noWrap w:val="0"/>
                  <w:vAlign w:val="center"/>
                </w:tcPr>
                <w:p w14:paraId="1921A37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公用工程</w:t>
                  </w:r>
                </w:p>
              </w:tc>
              <w:tc>
                <w:tcPr>
                  <w:tcW w:w="593" w:type="pct"/>
                  <w:gridSpan w:val="2"/>
                  <w:noWrap w:val="0"/>
                  <w:vAlign w:val="center"/>
                </w:tcPr>
                <w:p w14:paraId="39B29E1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给水</w:t>
                  </w:r>
                </w:p>
              </w:tc>
              <w:tc>
                <w:tcPr>
                  <w:tcW w:w="3644" w:type="pct"/>
                  <w:noWrap w:val="0"/>
                  <w:vAlign w:val="center"/>
                </w:tcPr>
                <w:p w14:paraId="43AB18A9">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施工用水取用河水，施工人员租用民房作为居住地，</w:t>
                  </w:r>
                  <w:r>
                    <w:rPr>
                      <w:rFonts w:hint="eastAsia" w:ascii="Times New Roman" w:hAnsi="Times New Roman" w:eastAsia="宋体" w:cs="Times New Roman"/>
                      <w:color w:val="auto"/>
                      <w:sz w:val="21"/>
                      <w:szCs w:val="21"/>
                    </w:rPr>
                    <w:t>生活用水由周围居民生活用水提供</w:t>
                  </w:r>
                  <w:r>
                    <w:rPr>
                      <w:rFonts w:hint="default" w:ascii="Times New Roman" w:hAnsi="Times New Roman" w:eastAsia="宋体" w:cs="Times New Roman"/>
                      <w:color w:val="auto"/>
                      <w:kern w:val="2"/>
                      <w:sz w:val="21"/>
                      <w:szCs w:val="21"/>
                      <w:lang w:val="en-US" w:eastAsia="zh-CN" w:bidi="ar-SA"/>
                    </w:rPr>
                    <w:t>。</w:t>
                  </w:r>
                </w:p>
              </w:tc>
              <w:tc>
                <w:tcPr>
                  <w:tcW w:w="467" w:type="pct"/>
                  <w:noWrap w:val="0"/>
                  <w:vAlign w:val="center"/>
                </w:tcPr>
                <w:p w14:paraId="15452A0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依托</w:t>
                  </w:r>
                </w:p>
              </w:tc>
            </w:tr>
            <w:tr w14:paraId="2B7D90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vMerge w:val="continue"/>
                  <w:noWrap w:val="0"/>
                  <w:vAlign w:val="center"/>
                </w:tcPr>
                <w:p w14:paraId="53EEE59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687D7FB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供电</w:t>
                  </w:r>
                </w:p>
              </w:tc>
              <w:tc>
                <w:tcPr>
                  <w:tcW w:w="3644" w:type="pct"/>
                  <w:noWrap w:val="0"/>
                  <w:vAlign w:val="center"/>
                </w:tcPr>
                <w:p w14:paraId="11512567">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工程区0.4KV输变电和10KV输配变供电网络已全面覆盖，施工用电由电网供应，能就近接入。</w:t>
                  </w:r>
                </w:p>
              </w:tc>
              <w:tc>
                <w:tcPr>
                  <w:tcW w:w="467" w:type="pct"/>
                  <w:noWrap w:val="0"/>
                  <w:vAlign w:val="center"/>
                </w:tcPr>
                <w:p w14:paraId="794D7CD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019095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vMerge w:val="restart"/>
                  <w:noWrap w:val="0"/>
                  <w:vAlign w:val="center"/>
                </w:tcPr>
                <w:p w14:paraId="6EBDEC3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环保工程</w:t>
                  </w:r>
                </w:p>
              </w:tc>
              <w:tc>
                <w:tcPr>
                  <w:tcW w:w="593" w:type="pct"/>
                  <w:gridSpan w:val="2"/>
                  <w:noWrap w:val="0"/>
                  <w:vAlign w:val="center"/>
                </w:tcPr>
                <w:p w14:paraId="0804258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废气（施工期）</w:t>
                  </w:r>
                </w:p>
              </w:tc>
              <w:tc>
                <w:tcPr>
                  <w:tcW w:w="3644" w:type="pct"/>
                  <w:noWrap w:val="0"/>
                  <w:vAlign w:val="center"/>
                </w:tcPr>
                <w:p w14:paraId="53A9714E">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通过洒水降尘、运输车辆加盖篷布</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定期检修施工机械及运载车辆尾气排放装置等降低施工期扬尘污染。</w:t>
                  </w:r>
                </w:p>
              </w:tc>
              <w:tc>
                <w:tcPr>
                  <w:tcW w:w="467" w:type="pct"/>
                  <w:vMerge w:val="restart"/>
                  <w:noWrap w:val="0"/>
                  <w:vAlign w:val="center"/>
                </w:tcPr>
                <w:p w14:paraId="16AB556E">
                  <w:pPr>
                    <w:spacing w:line="360" w:lineRule="exact"/>
                    <w:ind w:left="0" w:leftChars="0"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随</w:t>
                  </w:r>
                  <w:r>
                    <w:rPr>
                      <w:rFonts w:hint="default" w:ascii="Times New Roman" w:hAnsi="Times New Roman" w:eastAsia="宋体" w:cs="Times New Roman"/>
                      <w:color w:val="auto"/>
                      <w:kern w:val="2"/>
                      <w:sz w:val="21"/>
                      <w:szCs w:val="21"/>
                      <w:lang w:val="en-US" w:eastAsia="zh-CN" w:bidi="ar-SA"/>
                    </w:rPr>
                    <w:t>施工期结束，施工期影响消失，现场无遗留环境污染问题</w:t>
                  </w:r>
                </w:p>
              </w:tc>
            </w:tr>
            <w:tr w14:paraId="1F1082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255" w:hRule="atLeast"/>
                <w:jc w:val="center"/>
              </w:trPr>
              <w:tc>
                <w:tcPr>
                  <w:tcW w:w="295" w:type="pct"/>
                  <w:vMerge w:val="continue"/>
                  <w:noWrap w:val="0"/>
                  <w:vAlign w:val="center"/>
                </w:tcPr>
                <w:p w14:paraId="55696F5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4759CE28">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废水（施工期）</w:t>
                  </w:r>
                </w:p>
              </w:tc>
              <w:tc>
                <w:tcPr>
                  <w:tcW w:w="3644" w:type="pct"/>
                  <w:noWrap w:val="0"/>
                  <w:vAlign w:val="center"/>
                </w:tcPr>
                <w:p w14:paraId="142754B9">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本项目施工期废水主要包括施工人员生活污水和施工机械设备及车辆冲洗废水</w:t>
                  </w:r>
                  <w:r>
                    <w:rPr>
                      <w:rFonts w:hint="eastAsia"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在施工过程中应推行清洁生产工艺，尽量降低生产废水总量及浓度。在各工区废水排放量较大且集中的地方需修建废水沉淀池，经一天以上时间沉淀后</w:t>
                  </w:r>
                  <w:r>
                    <w:rPr>
                      <w:rFonts w:hint="eastAsia" w:ascii="Times New Roman" w:hAnsi="Times New Roman" w:eastAsia="宋体" w:cs="Times New Roman"/>
                      <w:color w:val="auto"/>
                      <w:kern w:val="2"/>
                      <w:sz w:val="21"/>
                      <w:szCs w:val="21"/>
                      <w:lang w:val="en-US" w:eastAsia="zh-CN" w:bidi="ar-SA"/>
                    </w:rPr>
                    <w:t>回用</w:t>
                  </w:r>
                  <w:r>
                    <w:rPr>
                      <w:rFonts w:hint="default" w:ascii="Times New Roman" w:hAnsi="Times New Roman" w:eastAsia="宋体" w:cs="Times New Roman"/>
                      <w:color w:val="auto"/>
                      <w:kern w:val="2"/>
                      <w:sz w:val="21"/>
                      <w:szCs w:val="21"/>
                      <w:lang w:val="en-US" w:eastAsia="zh-CN" w:bidi="ar-SA"/>
                    </w:rPr>
                    <w:t>。施工过程产生的运输车辆冲洗废水及施工废水经沉淀池沉淀处理后回用，不外排。</w:t>
                  </w:r>
                  <w:r>
                    <w:rPr>
                      <w:rFonts w:hint="eastAsia" w:cs="Times New Roman"/>
                      <w:color w:val="auto"/>
                      <w:kern w:val="2"/>
                      <w:sz w:val="21"/>
                      <w:szCs w:val="21"/>
                      <w:lang w:val="en-US" w:eastAsia="zh-CN" w:bidi="ar-SA"/>
                    </w:rPr>
                    <w:t>施工人员生活污水建立临时化粪池，处理后定期清掏，外运肥田。</w:t>
                  </w:r>
                </w:p>
              </w:tc>
              <w:tc>
                <w:tcPr>
                  <w:tcW w:w="467" w:type="pct"/>
                  <w:vMerge w:val="continue"/>
                  <w:noWrap w:val="0"/>
                  <w:vAlign w:val="center"/>
                </w:tcPr>
                <w:p w14:paraId="39A6A8A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707DB1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295" w:type="pct"/>
                  <w:vMerge w:val="continue"/>
                  <w:noWrap w:val="0"/>
                  <w:vAlign w:val="center"/>
                </w:tcPr>
                <w:p w14:paraId="684C3F4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0EE2D40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噪声（施工期）</w:t>
                  </w:r>
                </w:p>
              </w:tc>
              <w:tc>
                <w:tcPr>
                  <w:tcW w:w="3644" w:type="pct"/>
                  <w:noWrap w:val="0"/>
                  <w:vAlign w:val="center"/>
                </w:tcPr>
                <w:p w14:paraId="13CDF693">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通过选用低噪声施工设备、合理布置施工场地、合理安排施工时间。</w:t>
                  </w:r>
                </w:p>
              </w:tc>
              <w:tc>
                <w:tcPr>
                  <w:tcW w:w="467" w:type="pct"/>
                  <w:vMerge w:val="continue"/>
                  <w:noWrap w:val="0"/>
                  <w:vAlign w:val="center"/>
                </w:tcPr>
                <w:p w14:paraId="65177C0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66E95B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295" w:type="pct"/>
                  <w:vMerge w:val="continue"/>
                  <w:noWrap w:val="0"/>
                  <w:vAlign w:val="center"/>
                </w:tcPr>
                <w:p w14:paraId="18D6F063">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4243326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固废（施工期）</w:t>
                  </w:r>
                </w:p>
              </w:tc>
              <w:tc>
                <w:tcPr>
                  <w:tcW w:w="3644" w:type="pct"/>
                  <w:noWrap w:val="0"/>
                  <w:vAlign w:val="center"/>
                </w:tcPr>
                <w:p w14:paraId="42E6A815">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本工程回填方量需求较大，施工弃渣较少且分散，工程弃渣可作为填料或还田造地。生活垃圾则需集中堆放，集中运往城区垃圾场统一处理</w:t>
                  </w:r>
                  <w:r>
                    <w:rPr>
                      <w:rFonts w:hint="eastAsia" w:ascii="Times New Roman" w:hAnsi="Times New Roman" w:eastAsia="宋体" w:cs="Times New Roman"/>
                      <w:color w:val="auto"/>
                      <w:kern w:val="2"/>
                      <w:sz w:val="21"/>
                      <w:szCs w:val="21"/>
                      <w:lang w:val="en-US" w:eastAsia="zh-CN" w:bidi="ar-SA"/>
                    </w:rPr>
                    <w:t>。</w:t>
                  </w:r>
                </w:p>
              </w:tc>
              <w:tc>
                <w:tcPr>
                  <w:tcW w:w="467" w:type="pct"/>
                  <w:vMerge w:val="continue"/>
                  <w:noWrap w:val="0"/>
                  <w:vAlign w:val="center"/>
                </w:tcPr>
                <w:p w14:paraId="56B0B4B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r>
            <w:tr w14:paraId="3D8E74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295" w:type="pct"/>
                  <w:vMerge w:val="continue"/>
                  <w:noWrap w:val="0"/>
                  <w:vAlign w:val="center"/>
                </w:tcPr>
                <w:p w14:paraId="7DA391C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593" w:type="pct"/>
                  <w:gridSpan w:val="2"/>
                  <w:noWrap w:val="0"/>
                  <w:vAlign w:val="center"/>
                </w:tcPr>
                <w:p w14:paraId="22ACB4B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生态恢复</w:t>
                  </w:r>
                </w:p>
              </w:tc>
              <w:tc>
                <w:tcPr>
                  <w:tcW w:w="3644" w:type="pct"/>
                  <w:noWrap w:val="0"/>
                  <w:vAlign w:val="center"/>
                </w:tcPr>
                <w:p w14:paraId="59828E22">
                  <w:pPr>
                    <w:spacing w:line="360" w:lineRule="atLeas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临时工程场地整平、恢复原状等。</w:t>
                  </w:r>
                </w:p>
              </w:tc>
              <w:tc>
                <w:tcPr>
                  <w:tcW w:w="467" w:type="pct"/>
                  <w:vMerge w:val="continue"/>
                  <w:noWrap w:val="0"/>
                  <w:vAlign w:val="center"/>
                </w:tcPr>
                <w:p w14:paraId="50B407C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r>
          </w:tbl>
          <w:p w14:paraId="07B686C6">
            <w:pPr>
              <w:pStyle w:val="37"/>
              <w:ind w:left="0" w:leftChars="0" w:firstLine="0" w:firstLineChars="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、项目工程量表</w:t>
            </w:r>
          </w:p>
          <w:p w14:paraId="69546B47">
            <w:pPr>
              <w:pStyle w:val="37"/>
              <w:ind w:firstLine="48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本项目工程量见表</w:t>
            </w:r>
            <w:r>
              <w:rPr>
                <w:rFonts w:hint="eastAsia"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w:t>
            </w:r>
          </w:p>
          <w:p w14:paraId="4FE377A1">
            <w:pPr>
              <w:pStyle w:val="35"/>
              <w:ind w:firstLine="480"/>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表</w:t>
            </w:r>
            <w:r>
              <w:rPr>
                <w:rFonts w:hint="eastAsia" w:cs="Times New Roman"/>
                <w:color w:val="auto"/>
                <w:kern w:val="2"/>
                <w:sz w:val="24"/>
                <w:szCs w:val="24"/>
                <w:lang w:val="en-US" w:eastAsia="zh-CN" w:bidi="ar-SA"/>
              </w:rPr>
              <w:t xml:space="preserve">6   </w:t>
            </w:r>
            <w:r>
              <w:rPr>
                <w:rFonts w:hint="eastAsia" w:ascii="Times New Roman" w:hAnsi="Times New Roman" w:eastAsia="宋体" w:cs="Times New Roman"/>
                <w:color w:val="auto"/>
                <w:kern w:val="2"/>
                <w:sz w:val="24"/>
                <w:szCs w:val="24"/>
                <w:lang w:val="en-US" w:eastAsia="zh-CN" w:bidi="ar-SA"/>
              </w:rPr>
              <w:t>项目工程量表</w:t>
            </w:r>
          </w:p>
          <w:tbl>
            <w:tblPr>
              <w:tblStyle w:val="18"/>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12"/>
              <w:gridCol w:w="1097"/>
              <w:gridCol w:w="1261"/>
              <w:gridCol w:w="993"/>
              <w:gridCol w:w="1131"/>
              <w:gridCol w:w="2659"/>
            </w:tblGrid>
            <w:tr w14:paraId="7B3AA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4E3C79A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序号</w:t>
                  </w:r>
                </w:p>
              </w:tc>
              <w:tc>
                <w:tcPr>
                  <w:tcW w:w="1482" w:type="pct"/>
                  <w:gridSpan w:val="2"/>
                  <w:noWrap w:val="0"/>
                  <w:vAlign w:val="center"/>
                </w:tcPr>
                <w:p w14:paraId="0A479BC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项目</w:t>
                  </w:r>
                </w:p>
              </w:tc>
              <w:tc>
                <w:tcPr>
                  <w:tcW w:w="624" w:type="pct"/>
                  <w:noWrap w:val="0"/>
                  <w:vAlign w:val="center"/>
                </w:tcPr>
                <w:p w14:paraId="61FBB19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单位</w:t>
                  </w:r>
                </w:p>
              </w:tc>
              <w:tc>
                <w:tcPr>
                  <w:tcW w:w="711" w:type="pct"/>
                  <w:noWrap w:val="0"/>
                  <w:vAlign w:val="center"/>
                </w:tcPr>
                <w:p w14:paraId="2A1DF51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数量</w:t>
                  </w:r>
                </w:p>
              </w:tc>
              <w:tc>
                <w:tcPr>
                  <w:tcW w:w="1671" w:type="pct"/>
                  <w:noWrap w:val="0"/>
                  <w:vAlign w:val="center"/>
                </w:tcPr>
                <w:p w14:paraId="2E0E5DA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备注</w:t>
                  </w:r>
                </w:p>
              </w:tc>
            </w:tr>
            <w:tr w14:paraId="5B7D62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5B26EFA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一</w:t>
                  </w:r>
                </w:p>
              </w:tc>
              <w:tc>
                <w:tcPr>
                  <w:tcW w:w="4489" w:type="pct"/>
                  <w:gridSpan w:val="5"/>
                  <w:noWrap w:val="0"/>
                  <w:vAlign w:val="center"/>
                </w:tcPr>
                <w:p w14:paraId="5AD8FB6A">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水文</w:t>
                  </w:r>
                </w:p>
              </w:tc>
            </w:tr>
            <w:tr w14:paraId="0CB67F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7096626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482" w:type="pct"/>
                  <w:gridSpan w:val="2"/>
                  <w:noWrap w:val="0"/>
                  <w:vAlign w:val="center"/>
                </w:tcPr>
                <w:p w14:paraId="00878A43">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本次河道防洪治理长度</w:t>
                  </w:r>
                </w:p>
              </w:tc>
              <w:tc>
                <w:tcPr>
                  <w:tcW w:w="624" w:type="pct"/>
                  <w:noWrap w:val="0"/>
                  <w:vAlign w:val="center"/>
                </w:tcPr>
                <w:p w14:paraId="0006D37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km</w:t>
                  </w:r>
                </w:p>
              </w:tc>
              <w:tc>
                <w:tcPr>
                  <w:tcW w:w="711" w:type="pct"/>
                  <w:noWrap w:val="0"/>
                  <w:vAlign w:val="center"/>
                </w:tcPr>
                <w:p w14:paraId="1E465E52">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27.</w:t>
                  </w:r>
                  <w:r>
                    <w:rPr>
                      <w:rFonts w:hint="eastAsia" w:cs="Times New Roman"/>
                      <w:color w:val="auto"/>
                      <w:kern w:val="2"/>
                      <w:sz w:val="21"/>
                      <w:szCs w:val="21"/>
                      <w:lang w:val="en-US" w:eastAsia="zh-CN" w:bidi="ar-SA"/>
                    </w:rPr>
                    <w:t>8</w:t>
                  </w:r>
                </w:p>
              </w:tc>
              <w:tc>
                <w:tcPr>
                  <w:tcW w:w="1671" w:type="pct"/>
                  <w:noWrap w:val="0"/>
                  <w:vAlign w:val="center"/>
                </w:tcPr>
                <w:p w14:paraId="0F36E19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3520C6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55E92C0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二</w:t>
                  </w:r>
                </w:p>
              </w:tc>
              <w:tc>
                <w:tcPr>
                  <w:tcW w:w="1482" w:type="pct"/>
                  <w:gridSpan w:val="2"/>
                  <w:noWrap w:val="0"/>
                  <w:vAlign w:val="center"/>
                </w:tcPr>
                <w:p w14:paraId="538F243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堤防工程等级</w:t>
                  </w:r>
                </w:p>
              </w:tc>
              <w:tc>
                <w:tcPr>
                  <w:tcW w:w="624" w:type="pct"/>
                  <w:noWrap w:val="0"/>
                  <w:vAlign w:val="center"/>
                </w:tcPr>
                <w:p w14:paraId="04FEF4D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级</w:t>
                  </w:r>
                </w:p>
              </w:tc>
              <w:tc>
                <w:tcPr>
                  <w:tcW w:w="711" w:type="pct"/>
                  <w:noWrap w:val="0"/>
                  <w:vAlign w:val="center"/>
                </w:tcPr>
                <w:p w14:paraId="29527D2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p>
              </w:tc>
              <w:tc>
                <w:tcPr>
                  <w:tcW w:w="1671" w:type="pct"/>
                  <w:noWrap w:val="0"/>
                  <w:vAlign w:val="center"/>
                </w:tcPr>
                <w:p w14:paraId="7E5147A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051786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5DE805B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三</w:t>
                  </w:r>
                </w:p>
              </w:tc>
              <w:tc>
                <w:tcPr>
                  <w:tcW w:w="1482" w:type="pct"/>
                  <w:gridSpan w:val="2"/>
                  <w:noWrap w:val="0"/>
                  <w:vAlign w:val="center"/>
                </w:tcPr>
                <w:p w14:paraId="74C1A90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防洪标准（重现期）</w:t>
                  </w:r>
                </w:p>
              </w:tc>
              <w:tc>
                <w:tcPr>
                  <w:tcW w:w="624" w:type="pct"/>
                  <w:noWrap w:val="0"/>
                  <w:vAlign w:val="center"/>
                </w:tcPr>
                <w:p w14:paraId="123C4B7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w:t>
                  </w:r>
                </w:p>
              </w:tc>
              <w:tc>
                <w:tcPr>
                  <w:tcW w:w="711" w:type="pct"/>
                  <w:noWrap w:val="0"/>
                  <w:vAlign w:val="center"/>
                </w:tcPr>
                <w:p w14:paraId="241C71C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50~30</w:t>
                  </w:r>
                </w:p>
              </w:tc>
              <w:tc>
                <w:tcPr>
                  <w:tcW w:w="1671" w:type="pct"/>
                  <w:noWrap w:val="0"/>
                  <w:vAlign w:val="center"/>
                </w:tcPr>
                <w:p w14:paraId="34B5559F">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本项目设计20年一遇洪水</w:t>
                  </w:r>
                </w:p>
              </w:tc>
            </w:tr>
            <w:tr w14:paraId="23E9AC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5059143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482" w:type="pct"/>
                  <w:gridSpan w:val="2"/>
                  <w:noWrap w:val="0"/>
                  <w:vAlign w:val="center"/>
                </w:tcPr>
                <w:p w14:paraId="30780E0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设计洪水流量</w:t>
                  </w:r>
                </w:p>
              </w:tc>
              <w:tc>
                <w:tcPr>
                  <w:tcW w:w="624" w:type="pct"/>
                  <w:noWrap w:val="0"/>
                  <w:vAlign w:val="center"/>
                </w:tcPr>
                <w:p w14:paraId="46C96F2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m3/s</w:t>
                  </w:r>
                </w:p>
              </w:tc>
              <w:tc>
                <w:tcPr>
                  <w:tcW w:w="711" w:type="pct"/>
                  <w:noWrap w:val="0"/>
                  <w:vAlign w:val="center"/>
                </w:tcPr>
                <w:p w14:paraId="51DC199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245</w:t>
                  </w:r>
                </w:p>
              </w:tc>
              <w:tc>
                <w:tcPr>
                  <w:tcW w:w="1671" w:type="pct"/>
                  <w:noWrap w:val="0"/>
                  <w:vAlign w:val="center"/>
                </w:tcPr>
                <w:p w14:paraId="1BC3127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0A9416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5CCF0643">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四</w:t>
                  </w:r>
                </w:p>
              </w:tc>
              <w:tc>
                <w:tcPr>
                  <w:tcW w:w="4489" w:type="pct"/>
                  <w:gridSpan w:val="5"/>
                  <w:noWrap w:val="0"/>
                  <w:vAlign w:val="center"/>
                </w:tcPr>
                <w:p w14:paraId="20624FA0">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主要建、构筑物</w:t>
                  </w:r>
                </w:p>
              </w:tc>
            </w:tr>
            <w:tr w14:paraId="5E3C08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280CE47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689" w:type="pct"/>
                  <w:vMerge w:val="restart"/>
                  <w:noWrap w:val="0"/>
                  <w:vAlign w:val="center"/>
                </w:tcPr>
                <w:p w14:paraId="1123113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护岸</w:t>
                  </w:r>
                  <w:r>
                    <w:rPr>
                      <w:rFonts w:hint="default" w:ascii="Times New Roman" w:hAnsi="Times New Roman" w:eastAsia="宋体" w:cs="Times New Roman"/>
                      <w:color w:val="auto"/>
                      <w:kern w:val="2"/>
                      <w:sz w:val="21"/>
                      <w:szCs w:val="21"/>
                      <w:lang w:val="en-US" w:eastAsia="zh-CN" w:bidi="ar-SA"/>
                    </w:rPr>
                    <w:t>工程</w:t>
                  </w:r>
                </w:p>
              </w:tc>
              <w:tc>
                <w:tcPr>
                  <w:tcW w:w="792" w:type="pct"/>
                  <w:noWrap w:val="0"/>
                  <w:vAlign w:val="center"/>
                </w:tcPr>
                <w:p w14:paraId="7B5A3B9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左岸长度</w:t>
                  </w:r>
                </w:p>
              </w:tc>
              <w:tc>
                <w:tcPr>
                  <w:tcW w:w="624" w:type="pct"/>
                  <w:noWrap w:val="0"/>
                  <w:vAlign w:val="center"/>
                </w:tcPr>
                <w:p w14:paraId="42CD90D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km</w:t>
                  </w:r>
                </w:p>
              </w:tc>
              <w:tc>
                <w:tcPr>
                  <w:tcW w:w="711" w:type="pct"/>
                  <w:noWrap w:val="0"/>
                  <w:vAlign w:val="center"/>
                </w:tcPr>
                <w:p w14:paraId="77691CD2">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2.71</w:t>
                  </w:r>
                </w:p>
              </w:tc>
              <w:tc>
                <w:tcPr>
                  <w:tcW w:w="1671" w:type="pct"/>
                  <w:noWrap w:val="0"/>
                  <w:vAlign w:val="center"/>
                </w:tcPr>
                <w:p w14:paraId="2DAFAFE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新建护岸2710m</w:t>
                  </w:r>
                </w:p>
              </w:tc>
            </w:tr>
            <w:tr w14:paraId="23CC66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03A2507B">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689" w:type="pct"/>
                  <w:vMerge w:val="continue"/>
                  <w:noWrap w:val="0"/>
                  <w:vAlign w:val="center"/>
                </w:tcPr>
                <w:p w14:paraId="4835602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p>
              </w:tc>
              <w:tc>
                <w:tcPr>
                  <w:tcW w:w="792" w:type="pct"/>
                  <w:noWrap w:val="0"/>
                  <w:vAlign w:val="center"/>
                </w:tcPr>
                <w:p w14:paraId="67F5016C">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右岸长度</w:t>
                  </w:r>
                </w:p>
              </w:tc>
              <w:tc>
                <w:tcPr>
                  <w:tcW w:w="624" w:type="pct"/>
                  <w:noWrap w:val="0"/>
                  <w:vAlign w:val="center"/>
                </w:tcPr>
                <w:p w14:paraId="39CC514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km</w:t>
                  </w:r>
                </w:p>
              </w:tc>
              <w:tc>
                <w:tcPr>
                  <w:tcW w:w="711" w:type="pct"/>
                  <w:noWrap w:val="0"/>
                  <w:vAlign w:val="center"/>
                </w:tcPr>
                <w:p w14:paraId="7293224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0.07</w:t>
                  </w:r>
                </w:p>
              </w:tc>
              <w:tc>
                <w:tcPr>
                  <w:tcW w:w="1671" w:type="pct"/>
                  <w:noWrap w:val="0"/>
                  <w:vAlign w:val="center"/>
                </w:tcPr>
                <w:p w14:paraId="494F9BB7">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新建护岸70m</w:t>
                  </w:r>
                </w:p>
              </w:tc>
            </w:tr>
            <w:tr w14:paraId="1EF25F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67" w:hRule="atLeast"/>
              </w:trPr>
              <w:tc>
                <w:tcPr>
                  <w:tcW w:w="510" w:type="pct"/>
                  <w:noWrap w:val="0"/>
                  <w:vAlign w:val="center"/>
                </w:tcPr>
                <w:p w14:paraId="4CE7D15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五</w:t>
                  </w:r>
                </w:p>
              </w:tc>
              <w:tc>
                <w:tcPr>
                  <w:tcW w:w="4489" w:type="pct"/>
                  <w:gridSpan w:val="5"/>
                  <w:noWrap w:val="0"/>
                  <w:vAlign w:val="center"/>
                </w:tcPr>
                <w:p w14:paraId="588EEBD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占地</w:t>
                  </w:r>
                </w:p>
              </w:tc>
            </w:tr>
            <w:tr w14:paraId="7B314A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21F04D62">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1482" w:type="pct"/>
                  <w:gridSpan w:val="2"/>
                  <w:noWrap w:val="0"/>
                  <w:vAlign w:val="center"/>
                </w:tcPr>
                <w:p w14:paraId="5FDACB7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临时占地</w:t>
                  </w:r>
                </w:p>
              </w:tc>
              <w:tc>
                <w:tcPr>
                  <w:tcW w:w="624" w:type="pct"/>
                  <w:noWrap w:val="0"/>
                  <w:vAlign w:val="center"/>
                </w:tcPr>
                <w:p w14:paraId="3A76E9F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m2</w:t>
                  </w:r>
                </w:p>
              </w:tc>
              <w:tc>
                <w:tcPr>
                  <w:tcW w:w="711" w:type="pct"/>
                  <w:noWrap w:val="0"/>
                  <w:vAlign w:val="center"/>
                </w:tcPr>
                <w:p w14:paraId="62F584A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12400.62</w:t>
                  </w:r>
                </w:p>
              </w:tc>
              <w:tc>
                <w:tcPr>
                  <w:tcW w:w="1671" w:type="pct"/>
                  <w:noWrap w:val="0"/>
                  <w:vAlign w:val="center"/>
                </w:tcPr>
                <w:p w14:paraId="52844BE1">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占地类型主要为耕地</w:t>
                  </w:r>
                </w:p>
                <w:p w14:paraId="653ECC6E">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及河滩地，占地内容有临时施工道路占地、施工踏压及施工生产、生活区占地</w:t>
                  </w:r>
                </w:p>
                <w:p w14:paraId="7EF83461">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施工结束后进行土地平整、绿化恢复等</w:t>
                  </w:r>
                </w:p>
              </w:tc>
            </w:tr>
            <w:tr w14:paraId="218902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c>
                <w:tcPr>
                  <w:tcW w:w="510" w:type="pct"/>
                  <w:noWrap w:val="0"/>
                  <w:vAlign w:val="center"/>
                </w:tcPr>
                <w:p w14:paraId="1FEE62C2">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w:t>
                  </w:r>
                </w:p>
              </w:tc>
              <w:tc>
                <w:tcPr>
                  <w:tcW w:w="1482" w:type="pct"/>
                  <w:gridSpan w:val="2"/>
                  <w:noWrap w:val="0"/>
                  <w:vAlign w:val="center"/>
                </w:tcPr>
                <w:p w14:paraId="5DD7EC2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施工工期</w:t>
                  </w:r>
                </w:p>
              </w:tc>
              <w:tc>
                <w:tcPr>
                  <w:tcW w:w="624" w:type="pct"/>
                  <w:noWrap w:val="0"/>
                  <w:vAlign w:val="center"/>
                </w:tcPr>
                <w:p w14:paraId="6114F9CD">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月</w:t>
                  </w:r>
                </w:p>
              </w:tc>
              <w:tc>
                <w:tcPr>
                  <w:tcW w:w="711" w:type="pct"/>
                  <w:noWrap w:val="0"/>
                  <w:vAlign w:val="center"/>
                </w:tcPr>
                <w:p w14:paraId="4455B228">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w:t>
                  </w:r>
                </w:p>
              </w:tc>
              <w:tc>
                <w:tcPr>
                  <w:tcW w:w="1671" w:type="pct"/>
                  <w:noWrap w:val="0"/>
                  <w:vAlign w:val="center"/>
                </w:tcPr>
                <w:p w14:paraId="0427CAA9">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r w14:paraId="5BFBDF9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3" w:hRule="atLeast"/>
              </w:trPr>
              <w:tc>
                <w:tcPr>
                  <w:tcW w:w="510" w:type="pct"/>
                  <w:noWrap w:val="0"/>
                  <w:vAlign w:val="center"/>
                </w:tcPr>
                <w:p w14:paraId="160A9331">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七</w:t>
                  </w:r>
                </w:p>
              </w:tc>
              <w:tc>
                <w:tcPr>
                  <w:tcW w:w="1482" w:type="pct"/>
                  <w:gridSpan w:val="2"/>
                  <w:noWrap w:val="0"/>
                  <w:vAlign w:val="center"/>
                </w:tcPr>
                <w:p w14:paraId="7F91E6D4">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工程总投资</w:t>
                  </w:r>
                </w:p>
              </w:tc>
              <w:tc>
                <w:tcPr>
                  <w:tcW w:w="624" w:type="pct"/>
                  <w:noWrap w:val="0"/>
                  <w:vAlign w:val="center"/>
                </w:tcPr>
                <w:p w14:paraId="20D3611E">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万元</w:t>
                  </w:r>
                </w:p>
              </w:tc>
              <w:tc>
                <w:tcPr>
                  <w:tcW w:w="711" w:type="pct"/>
                  <w:noWrap w:val="0"/>
                  <w:vAlign w:val="center"/>
                </w:tcPr>
                <w:p w14:paraId="13D52466">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2344.08</w:t>
                  </w:r>
                </w:p>
              </w:tc>
              <w:tc>
                <w:tcPr>
                  <w:tcW w:w="1671" w:type="pct"/>
                  <w:noWrap w:val="0"/>
                  <w:vAlign w:val="center"/>
                </w:tcPr>
                <w:p w14:paraId="37E590A5">
                  <w:pPr>
                    <w:spacing w:line="360" w:lineRule="atLeas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r>
          </w:tbl>
          <w:p w14:paraId="58E9C43D">
            <w:pPr>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4、主要工程设计</w:t>
            </w:r>
          </w:p>
          <w:p w14:paraId="0DC9734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 1 \* GB2 \* MERGEFORMAT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堤线、堤距确定</w:t>
            </w:r>
          </w:p>
          <w:p w14:paraId="5CEA8675">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ascii="Times New Roman" w:hAnsi="Times New Roman" w:eastAsia="宋体" w:cs="Times New Roman"/>
                <w:color w:val="auto"/>
                <w:kern w:val="2"/>
                <w:sz w:val="24"/>
                <w:szCs w:val="24"/>
                <w:lang w:val="en-US" w:eastAsia="zh-CN" w:bidi="ar-SA"/>
              </w:rPr>
              <w:t>本次治理段位于湑水河上游周至县厚畛子镇老县城村</w:t>
            </w:r>
            <w:r>
              <w:rPr>
                <w:rFonts w:hint="default" w:ascii="Times New Roman" w:hAnsi="Times New Roman" w:eastAsia="宋体" w:cs="Times New Roman"/>
                <w:color w:val="auto"/>
                <w:kern w:val="2"/>
                <w:sz w:val="24"/>
                <w:szCs w:val="24"/>
                <w:lang w:val="en-US" w:eastAsia="zh-CN" w:bidi="ar-SA"/>
              </w:rPr>
              <w:t>，</w:t>
            </w:r>
            <w:r>
              <w:rPr>
                <w:rFonts w:hint="eastAsia"/>
                <w:color w:val="auto"/>
              </w:rPr>
              <w:t>工程段河道多年来没有发生大的摆动，受河道两岸岸坎控制，河道基本渠槽化，主流基本稳定，个别河段主流有所偏移。总体来看，该段河道地形地貌、地质结构无大的差异，确定堤线基本沿现状河岸坎布置，仅对硬弯、死角及明显碍洪堤段进行改造，上下游平顺衔接布置堤线。根据工程布置，</w:t>
            </w:r>
            <w:r>
              <w:rPr>
                <w:rFonts w:hint="eastAsia" w:ascii="Times New Roman" w:hAnsi="Times New Roman" w:eastAsia="宋体" w:cs="Times New Roman"/>
                <w:color w:val="auto"/>
                <w:kern w:val="2"/>
                <w:sz w:val="24"/>
                <w:szCs w:val="24"/>
                <w:lang w:val="en-US" w:eastAsia="zh-CN" w:bidi="ar-SA"/>
              </w:rPr>
              <w:t>治理河道长度为2.71km</w:t>
            </w:r>
            <w:r>
              <w:rPr>
                <w:rFonts w:hint="default" w:ascii="Times New Roman" w:hAnsi="Times New Roman" w:eastAsia="宋体" w:cs="Times New Roman"/>
                <w:color w:val="auto"/>
                <w:kern w:val="2"/>
                <w:sz w:val="24"/>
                <w:szCs w:val="24"/>
                <w:lang w:val="en-US" w:eastAsia="zh-CN" w:bidi="ar-SA"/>
              </w:rPr>
              <w:t>，该段现状河道宽度为22m</w:t>
            </w:r>
            <w:r>
              <w:rPr>
                <w:rFonts w:hint="eastAsia"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45</w:t>
            </w:r>
            <w:r>
              <w:rPr>
                <w:rFonts w:hint="default" w:ascii="Times New Roman" w:hAnsi="Times New Roman" w:eastAsia="宋体" w:cs="Times New Roman"/>
                <w:color w:val="auto"/>
                <w:kern w:val="2"/>
                <w:sz w:val="24"/>
                <w:szCs w:val="24"/>
                <w:lang w:val="en-US" w:eastAsia="zh-CN" w:bidi="ar-SA"/>
              </w:rPr>
              <w:t>m。</w:t>
            </w:r>
            <w:r>
              <w:rPr>
                <w:rFonts w:hint="eastAsia"/>
                <w:color w:val="auto"/>
              </w:rPr>
              <w:t>结合现状河道及两岸用地情况，在保证行洪安全的条件下，充分利用现状岸坎防洪，本次防洪工程基本维持现状堤防堤距不变，最小堤距保持在</w:t>
            </w:r>
            <w:r>
              <w:rPr>
                <w:rFonts w:hint="eastAsia"/>
                <w:color w:val="auto"/>
                <w:lang w:val="en-US" w:eastAsia="zh-CN"/>
              </w:rPr>
              <w:t>22</w:t>
            </w:r>
            <w:r>
              <w:rPr>
                <w:rFonts w:hint="eastAsia"/>
                <w:color w:val="auto"/>
              </w:rPr>
              <w:t>m。</w:t>
            </w:r>
          </w:p>
          <w:p w14:paraId="7B4FB5C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修建完毕后，覆土植树种草，恢复绿化。</w:t>
            </w:r>
          </w:p>
          <w:p w14:paraId="182B3B4E">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 2 \* GB2 \* MERGEFORMAT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护岸顶高程</w:t>
            </w:r>
          </w:p>
          <w:p w14:paraId="2CD6913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根据施工设计，本次治理段堤防超高取值为</w:t>
            </w:r>
            <w:r>
              <w:rPr>
                <w:rFonts w:hint="eastAsia" w:ascii="Times New Roman" w:hAnsi="Times New Roman" w:eastAsia="宋体" w:cs="Times New Roman"/>
                <w:color w:val="auto"/>
                <w:kern w:val="2"/>
                <w:sz w:val="24"/>
                <w:szCs w:val="24"/>
                <w:lang w:val="en-US" w:eastAsia="zh-CN" w:bidi="ar-SA"/>
              </w:rPr>
              <w:t>0.7</w:t>
            </w:r>
            <w:r>
              <w:rPr>
                <w:rFonts w:hint="default" w:ascii="Times New Roman" w:hAnsi="Times New Roman" w:eastAsia="宋体" w:cs="Times New Roman"/>
                <w:color w:val="auto"/>
                <w:kern w:val="2"/>
                <w:sz w:val="24"/>
                <w:szCs w:val="24"/>
                <w:lang w:val="en-US" w:eastAsia="zh-CN" w:bidi="ar-SA"/>
              </w:rPr>
              <w:t>m。</w:t>
            </w:r>
          </w:p>
          <w:p w14:paraId="40DD9F2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fldChar w:fldCharType="begin"/>
            </w:r>
            <w:r>
              <w:rPr>
                <w:rFonts w:hint="default" w:ascii="Times New Roman" w:hAnsi="Times New Roman" w:eastAsia="宋体" w:cs="Times New Roman"/>
                <w:color w:val="auto"/>
                <w:kern w:val="2"/>
                <w:sz w:val="24"/>
                <w:szCs w:val="24"/>
                <w:lang w:val="en-US" w:eastAsia="zh-CN" w:bidi="ar-SA"/>
              </w:rPr>
              <w:instrText xml:space="preserve"> = 3 \* GB2 \* MERGEFORMAT </w:instrText>
            </w:r>
            <w:r>
              <w:rPr>
                <w:rFonts w:hint="default" w:ascii="Times New Roman" w:hAnsi="Times New Roman" w:eastAsia="宋体" w:cs="Times New Roman"/>
                <w:color w:val="auto"/>
                <w:kern w:val="2"/>
                <w:sz w:val="24"/>
                <w:szCs w:val="24"/>
                <w:lang w:val="en-US" w:eastAsia="zh-CN" w:bidi="ar-SA"/>
              </w:rPr>
              <w:fldChar w:fldCharType="separate"/>
            </w:r>
            <w:r>
              <w:rPr>
                <w:rFonts w:hint="default" w:ascii="Times New Roman" w:hAnsi="Times New Roman" w:eastAsia="宋体"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横断面设计</w:t>
            </w:r>
          </w:p>
          <w:p w14:paraId="693A7B5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标准横断面</w:t>
            </w:r>
            <w:r>
              <w:rPr>
                <w:rFonts w:hint="eastAsia" w:cs="Times New Roman"/>
                <w:color w:val="auto"/>
                <w:kern w:val="2"/>
                <w:sz w:val="24"/>
                <w:szCs w:val="24"/>
                <w:lang w:val="en-US" w:eastAsia="zh-CN" w:bidi="ar-SA"/>
              </w:rPr>
              <w:t>阶梯形</w:t>
            </w:r>
          </w:p>
          <w:p w14:paraId="42355CA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color w:val="auto"/>
                <w:lang w:val="en-US" w:eastAsia="zh-CN"/>
              </w:rPr>
            </w:pPr>
            <w:r>
              <w:rPr>
                <w:rFonts w:hint="default" w:ascii="Times New Roman" w:hAnsi="Times New Roman" w:eastAsia="宋体" w:cs="Times New Roman"/>
                <w:color w:val="auto"/>
                <w:kern w:val="2"/>
                <w:sz w:val="24"/>
                <w:szCs w:val="24"/>
                <w:u w:val="none"/>
                <w:lang w:val="en-US" w:eastAsia="zh-CN" w:bidi="ar-SA"/>
              </w:rPr>
              <w:fldChar w:fldCharType="begin"/>
            </w:r>
            <w:r>
              <w:rPr>
                <w:rFonts w:hint="default" w:ascii="Times New Roman" w:hAnsi="Times New Roman" w:eastAsia="宋体" w:cs="Times New Roman"/>
                <w:color w:val="auto"/>
                <w:kern w:val="2"/>
                <w:sz w:val="24"/>
                <w:szCs w:val="24"/>
                <w:u w:val="none"/>
                <w:lang w:val="en-US" w:eastAsia="zh-CN" w:bidi="ar-SA"/>
              </w:rPr>
              <w:instrText xml:space="preserve"> HYPERLINK "mailto:基础为C20埋石砼浇筑，埋深1.2m，基础宽度2.5m，每隔10m设一个沉降缝，缝宽2cm，填充聚乙烯泡沫板；挡墙为钢筋石笼，呈台阶式布置，层高1m，共三层，尺寸为2*1*1m，型号φ10@200*200；顶层铺砂砾石填充石笼缝隙。设计横断面为阶梯形，临水坡坡比1:0.3，背水坡坡比为1:0.3。" </w:instrText>
            </w:r>
            <w:r>
              <w:rPr>
                <w:rFonts w:hint="default" w:ascii="Times New Roman" w:hAnsi="Times New Roman" w:eastAsia="宋体" w:cs="Times New Roman"/>
                <w:color w:val="auto"/>
                <w:kern w:val="2"/>
                <w:sz w:val="24"/>
                <w:szCs w:val="24"/>
                <w:u w:val="none"/>
                <w:lang w:val="en-US" w:eastAsia="zh-CN" w:bidi="ar-SA"/>
              </w:rPr>
              <w:fldChar w:fldCharType="separate"/>
            </w:r>
            <w:r>
              <w:rPr>
                <w:rStyle w:val="21"/>
                <w:rFonts w:hint="default" w:ascii="Times New Roman" w:hAnsi="Times New Roman" w:eastAsia="宋体" w:cs="Times New Roman"/>
                <w:color w:val="auto"/>
                <w:kern w:val="2"/>
                <w:sz w:val="24"/>
                <w:szCs w:val="24"/>
                <w:u w:val="none"/>
                <w:lang w:val="en-US" w:eastAsia="zh-CN" w:bidi="ar-SA"/>
              </w:rPr>
              <w:t>基础为C20埋石砼浇筑，埋深1.2m，基础宽度2.5m，每隔10m设一个沉降缝，缝宽2cm，填充聚乙烯泡沫板；挡墙为钢筋石笼，呈台阶式布置，层高1m，共三层，尺寸为2*1*1m，型号φ10@200*200；顶层铺砂砾石填充石笼缝隙。</w:t>
            </w:r>
            <w:r>
              <w:rPr>
                <w:rStyle w:val="21"/>
                <w:rFonts w:hint="eastAsia"/>
                <w:color w:val="auto"/>
                <w:u w:val="none"/>
              </w:rPr>
              <w:t>设计横断面为</w:t>
            </w:r>
            <w:r>
              <w:rPr>
                <w:rStyle w:val="21"/>
                <w:rFonts w:hint="eastAsia"/>
                <w:color w:val="auto"/>
                <w:u w:val="none"/>
                <w:lang w:eastAsia="zh-CN"/>
              </w:rPr>
              <w:t>阶梯形</w:t>
            </w:r>
            <w:r>
              <w:rPr>
                <w:rStyle w:val="21"/>
                <w:rFonts w:hint="eastAsia"/>
                <w:color w:val="auto"/>
                <w:u w:val="none"/>
              </w:rPr>
              <w:t>，临水坡坡比1:</w:t>
            </w:r>
            <w:r>
              <w:rPr>
                <w:rStyle w:val="21"/>
                <w:rFonts w:hint="eastAsia"/>
                <w:color w:val="auto"/>
                <w:u w:val="none"/>
                <w:lang w:val="en-US" w:eastAsia="zh-CN"/>
              </w:rPr>
              <w:t>0.3</w:t>
            </w:r>
            <w:r>
              <w:rPr>
                <w:rStyle w:val="21"/>
                <w:rFonts w:hint="eastAsia"/>
                <w:color w:val="auto"/>
                <w:u w:val="none"/>
              </w:rPr>
              <w:t>，背水坡坡比为1:</w:t>
            </w:r>
            <w:r>
              <w:rPr>
                <w:rStyle w:val="21"/>
                <w:rFonts w:hint="eastAsia"/>
                <w:color w:val="auto"/>
                <w:u w:val="none"/>
                <w:lang w:val="en-US" w:eastAsia="zh-CN"/>
              </w:rPr>
              <w:t>0.3</w:t>
            </w:r>
            <w:r>
              <w:rPr>
                <w:rStyle w:val="21"/>
                <w:rFonts w:hint="eastAsia"/>
                <w:color w:val="auto"/>
                <w:u w:val="none"/>
              </w:rPr>
              <w:t>。</w:t>
            </w:r>
            <w:r>
              <w:rPr>
                <w:rFonts w:hint="default" w:ascii="Times New Roman" w:hAnsi="Times New Roman" w:eastAsia="宋体" w:cs="Times New Roman"/>
                <w:color w:val="auto"/>
                <w:kern w:val="2"/>
                <w:sz w:val="24"/>
                <w:szCs w:val="24"/>
                <w:u w:val="none"/>
                <w:lang w:val="en-US" w:eastAsia="zh-CN" w:bidi="ar-SA"/>
              </w:rPr>
              <w:fldChar w:fldCharType="end"/>
            </w:r>
          </w:p>
          <w:p w14:paraId="030704A3">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color w:val="auto"/>
              </w:rPr>
            </w:pPr>
            <w:r>
              <w:rPr>
                <w:rFonts w:hint="default" w:ascii="Times New Roman" w:hAnsi="Times New Roman" w:eastAsia="宋体" w:cs="Times New Roman"/>
                <w:color w:val="auto"/>
                <w:kern w:val="2"/>
                <w:sz w:val="24"/>
                <w:szCs w:val="24"/>
                <w:lang w:val="en-US" w:eastAsia="zh-CN" w:bidi="ar-SA"/>
              </w:rPr>
              <w:t>3）</w:t>
            </w:r>
            <w:r>
              <w:rPr>
                <w:rFonts w:hint="eastAsia" w:ascii="宋体" w:hAnsi="宋体"/>
                <w:color w:val="auto"/>
              </w:rPr>
              <w:t>河道纵坡</w:t>
            </w:r>
          </w:p>
          <w:p w14:paraId="0E631934">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color w:val="auto"/>
                <w:lang w:val="en-US" w:eastAsia="zh-CN"/>
              </w:rPr>
            </w:pPr>
            <w:r>
              <w:rPr>
                <w:rFonts w:hint="eastAsia" w:ascii="宋体" w:hAnsi="宋体"/>
                <w:color w:val="auto"/>
              </w:rPr>
              <w:t>根据河道地形及河势、工程地质、河床及坡岸稳定、工程量、施工、移民占地、投资及管理运用条件，结合河道冲淤平衡分析，河道纵坡基本维持原河道深泓线走势不变。</w:t>
            </w:r>
          </w:p>
        </w:tc>
      </w:tr>
      <w:tr w14:paraId="759F8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59" w:type="dxa"/>
            <w:vAlign w:val="center"/>
          </w:tcPr>
          <w:p w14:paraId="5FDDBDD7">
            <w:pPr>
              <w:pStyle w:val="37"/>
              <w:ind w:firstLine="0" w:firstLineChars="0"/>
              <w:jc w:val="center"/>
              <w:rPr>
                <w:color w:val="auto"/>
              </w:rPr>
            </w:pPr>
            <w:r>
              <w:rPr>
                <w:rFonts w:hint="eastAsia"/>
                <w:color w:val="auto"/>
              </w:rPr>
              <w:t>总平</w:t>
            </w:r>
          </w:p>
          <w:p w14:paraId="3826693D">
            <w:pPr>
              <w:pStyle w:val="37"/>
              <w:ind w:firstLine="0" w:firstLineChars="0"/>
              <w:jc w:val="center"/>
              <w:rPr>
                <w:color w:val="auto"/>
              </w:rPr>
            </w:pPr>
            <w:r>
              <w:rPr>
                <w:rFonts w:hint="eastAsia"/>
                <w:color w:val="auto"/>
              </w:rPr>
              <w:t>面及</w:t>
            </w:r>
          </w:p>
          <w:p w14:paraId="765F5D61">
            <w:pPr>
              <w:pStyle w:val="37"/>
              <w:ind w:firstLine="0" w:firstLineChars="0"/>
              <w:jc w:val="center"/>
              <w:rPr>
                <w:color w:val="auto"/>
              </w:rPr>
            </w:pPr>
            <w:r>
              <w:rPr>
                <w:rFonts w:hint="eastAsia"/>
                <w:color w:val="auto"/>
              </w:rPr>
              <w:t>现场</w:t>
            </w:r>
          </w:p>
          <w:p w14:paraId="2225E441">
            <w:pPr>
              <w:pStyle w:val="37"/>
              <w:ind w:firstLine="0" w:firstLineChars="0"/>
              <w:jc w:val="center"/>
              <w:rPr>
                <w:color w:val="auto"/>
              </w:rPr>
            </w:pPr>
            <w:r>
              <w:rPr>
                <w:rFonts w:hint="eastAsia"/>
                <w:color w:val="auto"/>
              </w:rPr>
              <w:t>布置</w:t>
            </w:r>
          </w:p>
        </w:tc>
        <w:tc>
          <w:tcPr>
            <w:tcW w:w="8173" w:type="dxa"/>
            <w:vAlign w:val="center"/>
          </w:tcPr>
          <w:p w14:paraId="45F1A33A">
            <w:pPr>
              <w:pStyle w:val="37"/>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bCs/>
                <w:color w:val="auto"/>
              </w:rPr>
            </w:pPr>
            <w:r>
              <w:rPr>
                <w:b/>
                <w:bCs/>
                <w:color w:val="auto"/>
              </w:rPr>
              <w:t>1</w:t>
            </w:r>
            <w:r>
              <w:rPr>
                <w:rFonts w:hint="eastAsia"/>
                <w:b/>
                <w:bCs/>
                <w:color w:val="auto"/>
              </w:rPr>
              <w:t>、总体布局</w:t>
            </w:r>
          </w:p>
          <w:p w14:paraId="1957C15F">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color w:val="auto"/>
                <w:lang w:val="en-US" w:eastAsia="zh-CN"/>
              </w:rPr>
            </w:pPr>
            <w:r>
              <w:rPr>
                <w:rFonts w:hint="eastAsia" w:eastAsia="宋体"/>
                <w:color w:val="auto"/>
                <w:lang w:val="en-US" w:eastAsia="zh-CN"/>
              </w:rPr>
              <w:t>本项目为湑水河老县城村段防洪治理工程，治理范围起于“离钟楼最远的西安人王三圈农家乐”</w:t>
            </w:r>
            <w:r>
              <w:rPr>
                <w:rFonts w:hint="default" w:ascii="Times New Roman" w:hAnsi="Times New Roman" w:cs="Times New Roman"/>
                <w:color w:val="auto"/>
                <w:kern w:val="0"/>
              </w:rPr>
              <w:t>（河道桩号</w:t>
            </w:r>
            <w:r>
              <w:rPr>
                <w:rFonts w:hint="eastAsia" w:cs="Times New Roman"/>
                <w:color w:val="auto"/>
                <w:kern w:val="0"/>
                <w:lang w:val="en-US" w:eastAsia="zh-CN"/>
              </w:rPr>
              <w:t>L0+000</w:t>
            </w:r>
            <w:r>
              <w:rPr>
                <w:rFonts w:hint="default" w:ascii="Times New Roman" w:hAnsi="Times New Roman" w:cs="Times New Roman"/>
                <w:color w:val="auto"/>
                <w:kern w:val="0"/>
              </w:rPr>
              <w:t>）</w:t>
            </w:r>
            <w:r>
              <w:rPr>
                <w:rFonts w:hint="eastAsia" w:eastAsia="宋体"/>
                <w:color w:val="auto"/>
                <w:lang w:val="en-US" w:eastAsia="zh-CN"/>
              </w:rPr>
              <w:t>，止于老县城村末尾</w:t>
            </w:r>
            <w:r>
              <w:rPr>
                <w:rFonts w:hint="default" w:ascii="Times New Roman" w:hAnsi="Times New Roman" w:cs="Times New Roman"/>
                <w:color w:val="auto"/>
                <w:kern w:val="0"/>
              </w:rPr>
              <w:t>（河道桩号</w:t>
            </w:r>
            <w:r>
              <w:rPr>
                <w:rFonts w:hint="eastAsia" w:cs="Times New Roman"/>
                <w:color w:val="auto"/>
                <w:kern w:val="0"/>
                <w:lang w:val="en-US" w:eastAsia="zh-CN"/>
              </w:rPr>
              <w:t>L2+710.8</w:t>
            </w:r>
            <w:r>
              <w:rPr>
                <w:rFonts w:hint="default" w:ascii="Times New Roman" w:hAnsi="Times New Roman" w:cs="Times New Roman"/>
                <w:color w:val="auto"/>
                <w:kern w:val="0"/>
              </w:rPr>
              <w:t>）</w:t>
            </w:r>
            <w:r>
              <w:rPr>
                <w:rFonts w:hint="eastAsia" w:eastAsia="宋体"/>
                <w:color w:val="auto"/>
                <w:lang w:val="en-US" w:eastAsia="zh-CN"/>
              </w:rPr>
              <w:t>，工程区河道防洪工程长约2.71km。</w:t>
            </w:r>
          </w:p>
          <w:p w14:paraId="5673EE8A">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设计以防洪保安为重点，在确保防洪安全的前提下，基本不改变现状河道河势，</w:t>
            </w:r>
            <w:r>
              <w:rPr>
                <w:rFonts w:hint="eastAsia"/>
                <w:color w:val="auto"/>
                <w:lang w:eastAsia="zh-CN"/>
              </w:rPr>
              <w:t>确保</w:t>
            </w:r>
            <w:r>
              <w:rPr>
                <w:rFonts w:hint="eastAsia"/>
                <w:color w:val="auto"/>
              </w:rPr>
              <w:t>水流顺畅。在确保防洪安全的前提下，不改变现状河道河势，建设</w:t>
            </w:r>
            <w:r>
              <w:rPr>
                <w:rFonts w:hint="eastAsia"/>
                <w:color w:val="auto"/>
                <w:lang w:val="en-US" w:eastAsia="zh-CN"/>
              </w:rPr>
              <w:t>护岸</w:t>
            </w:r>
            <w:r>
              <w:rPr>
                <w:rFonts w:hint="eastAsia"/>
                <w:color w:val="auto"/>
              </w:rPr>
              <w:t>，保证</w:t>
            </w:r>
            <w:r>
              <w:rPr>
                <w:rFonts w:hint="eastAsia" w:eastAsia="宋体"/>
                <w:color w:val="auto"/>
                <w:lang w:val="en-US" w:eastAsia="zh-CN"/>
              </w:rPr>
              <w:t>湑水河</w:t>
            </w:r>
            <w:r>
              <w:rPr>
                <w:rFonts w:hint="eastAsia"/>
                <w:color w:val="auto"/>
              </w:rPr>
              <w:t>抵御20年一遇设计洪水。</w:t>
            </w:r>
          </w:p>
          <w:p w14:paraId="7766FE3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2、施工便道</w:t>
            </w:r>
          </w:p>
          <w:p w14:paraId="0C2D911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本工程施工设置专门的施工便道，</w:t>
            </w:r>
            <w:r>
              <w:rPr>
                <w:rFonts w:hint="eastAsia" w:ascii="Times New Roman" w:hAnsi="Times New Roman" w:eastAsia="宋体" w:cs="Times New Roman"/>
                <w:color w:val="auto"/>
                <w:kern w:val="2"/>
                <w:sz w:val="24"/>
                <w:szCs w:val="24"/>
                <w:lang w:val="en-US" w:eastAsia="zh-CN" w:bidi="ar-SA"/>
              </w:rPr>
              <w:t>施工道路区占地面积0.63hm2，占地性质</w:t>
            </w:r>
            <w:r>
              <w:rPr>
                <w:rFonts w:hint="eastAsia" w:cs="Times New Roman"/>
                <w:color w:val="auto"/>
                <w:kern w:val="2"/>
                <w:sz w:val="24"/>
                <w:szCs w:val="24"/>
                <w:lang w:val="en-US" w:eastAsia="zh-CN" w:bidi="ar-SA"/>
              </w:rPr>
              <w:t>为</w:t>
            </w:r>
            <w:r>
              <w:rPr>
                <w:rFonts w:hint="eastAsia" w:ascii="Times New Roman" w:hAnsi="Times New Roman" w:eastAsia="宋体" w:cs="Times New Roman"/>
                <w:color w:val="auto"/>
                <w:kern w:val="2"/>
                <w:sz w:val="24"/>
                <w:szCs w:val="24"/>
                <w:lang w:val="en-US" w:eastAsia="zh-CN" w:bidi="ar-SA"/>
              </w:rPr>
              <w:t>临时占地。</w:t>
            </w:r>
          </w:p>
          <w:p w14:paraId="3455114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bCs/>
                <w:color w:val="auto"/>
                <w:lang w:val="en-US" w:eastAsia="zh-CN"/>
              </w:rPr>
            </w:pPr>
            <w:r>
              <w:rPr>
                <w:rFonts w:hint="default" w:ascii="Times New Roman" w:hAnsi="Times New Roman" w:eastAsia="宋体" w:cs="Times New Roman"/>
                <w:b/>
                <w:bCs/>
                <w:color w:val="auto"/>
                <w:lang w:val="en-US" w:eastAsia="zh-CN"/>
              </w:rPr>
              <w:t>3、施工营地</w:t>
            </w:r>
          </w:p>
          <w:p w14:paraId="4E54979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color w:val="auto"/>
              </w:rPr>
            </w:pPr>
            <w:r>
              <w:rPr>
                <w:rFonts w:hint="default"/>
                <w:color w:val="auto"/>
              </w:rPr>
              <w:t>施工期主体工程根据施工需要，在项目区内中段设置</w:t>
            </w:r>
            <w:r>
              <w:rPr>
                <w:rFonts w:hint="eastAsia"/>
                <w:color w:val="auto"/>
                <w:lang w:val="en-US" w:eastAsia="zh-CN"/>
              </w:rPr>
              <w:t>1</w:t>
            </w:r>
            <w:r>
              <w:rPr>
                <w:rFonts w:hint="default"/>
                <w:color w:val="auto"/>
              </w:rPr>
              <w:t>处施工生产生活</w:t>
            </w:r>
            <w:r>
              <w:rPr>
                <w:rFonts w:hint="eastAsia"/>
                <w:color w:val="auto"/>
                <w:lang w:val="en-US" w:eastAsia="zh-CN"/>
              </w:rPr>
              <w:t>区</w:t>
            </w:r>
            <w:r>
              <w:rPr>
                <w:rFonts w:hint="default"/>
                <w:color w:val="auto"/>
              </w:rPr>
              <w:t>，占地面积</w:t>
            </w:r>
            <w:r>
              <w:rPr>
                <w:rFonts w:hint="eastAsia"/>
                <w:color w:val="auto"/>
                <w:lang w:val="en-US" w:eastAsia="zh-CN"/>
              </w:rPr>
              <w:t>31</w:t>
            </w:r>
            <w:r>
              <w:rPr>
                <w:rFonts w:hint="default"/>
                <w:color w:val="auto"/>
              </w:rPr>
              <w:t>00.0m</w:t>
            </w:r>
            <w:r>
              <w:rPr>
                <w:rFonts w:hint="default"/>
                <w:color w:val="auto"/>
                <w:vertAlign w:val="superscript"/>
              </w:rPr>
              <w:t>2</w:t>
            </w:r>
            <w:r>
              <w:rPr>
                <w:rFonts w:hint="default"/>
                <w:color w:val="auto"/>
              </w:rPr>
              <w:t>，为临时占地。</w:t>
            </w:r>
          </w:p>
          <w:p w14:paraId="5290754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项目临时库房</w:t>
            </w:r>
            <w:r>
              <w:rPr>
                <w:rFonts w:hint="eastAsia" w:ascii="Times New Roman" w:hAnsi="Times New Roman" w:eastAsia="宋体" w:cs="Times New Roman"/>
                <w:color w:val="auto"/>
                <w:kern w:val="2"/>
                <w:sz w:val="24"/>
                <w:szCs w:val="24"/>
                <w:lang w:val="en-US" w:eastAsia="zh-CN" w:bidi="ar-SA"/>
              </w:rPr>
              <w:t>位于左岸</w:t>
            </w:r>
            <w:r>
              <w:rPr>
                <w:rFonts w:hint="eastAsia" w:cs="Times New Roman"/>
                <w:color w:val="auto"/>
                <w:kern w:val="2"/>
                <w:sz w:val="24"/>
                <w:szCs w:val="24"/>
                <w:lang w:val="en-US" w:eastAsia="zh-CN" w:bidi="ar-SA"/>
              </w:rPr>
              <w:t>空地</w:t>
            </w:r>
            <w:r>
              <w:rPr>
                <w:rFonts w:hint="default" w:ascii="Times New Roman" w:hAnsi="Times New Roman" w:eastAsia="宋体" w:cs="Times New Roman"/>
                <w:color w:val="auto"/>
                <w:kern w:val="2"/>
                <w:sz w:val="24"/>
                <w:szCs w:val="24"/>
                <w:lang w:val="en-US" w:eastAsia="zh-CN" w:bidi="ar-SA"/>
              </w:rPr>
              <w:t>，建筑面积50m2。</w:t>
            </w:r>
            <w:r>
              <w:rPr>
                <w:rFonts w:hint="eastAsia" w:ascii="Times New Roman" w:hAnsi="Times New Roman" w:eastAsia="宋体" w:cs="Times New Roman"/>
                <w:color w:val="auto"/>
                <w:kern w:val="2"/>
                <w:sz w:val="24"/>
                <w:szCs w:val="24"/>
                <w:lang w:val="en-US" w:eastAsia="zh-CN" w:bidi="ar-SA"/>
              </w:rPr>
              <w:t>随</w:t>
            </w:r>
            <w:r>
              <w:rPr>
                <w:rFonts w:hint="default" w:ascii="Times New Roman" w:hAnsi="Times New Roman" w:eastAsia="宋体" w:cs="Times New Roman"/>
                <w:color w:val="auto"/>
                <w:kern w:val="2"/>
                <w:sz w:val="24"/>
                <w:szCs w:val="24"/>
                <w:lang w:val="en-US" w:eastAsia="zh-CN" w:bidi="ar-SA"/>
              </w:rPr>
              <w:t>施工结束，对施工临时占地进行全面恢复。</w:t>
            </w:r>
          </w:p>
          <w:p w14:paraId="0271D7B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4、临时堆土区</w:t>
            </w:r>
          </w:p>
          <w:p w14:paraId="6F40AFF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根据本工程施工需要及施工工序，在工程沿线适当位置设置临时堆土区（含表土），用于临时堆放待回填利用的土方。临时堆土区位置位于项目治理河道</w:t>
            </w:r>
            <w:r>
              <w:rPr>
                <w:rFonts w:hint="eastAsia" w:cs="Times New Roman"/>
                <w:color w:val="auto"/>
                <w:lang w:val="en-US" w:eastAsia="zh-CN"/>
              </w:rPr>
              <w:t>左岸</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属于临时占地，占地类型为</w:t>
            </w:r>
            <w:r>
              <w:rPr>
                <w:rFonts w:hint="eastAsia" w:cs="Times New Roman"/>
                <w:color w:val="auto"/>
                <w:lang w:val="en-US" w:eastAsia="zh-CN"/>
              </w:rPr>
              <w:t>河滩地</w:t>
            </w:r>
            <w:r>
              <w:rPr>
                <w:rFonts w:hint="default" w:ascii="Times New Roman" w:hAnsi="Times New Roman" w:cs="Times New Roman"/>
                <w:color w:val="auto"/>
              </w:rPr>
              <w:t>，项目临时堆土区选择</w:t>
            </w:r>
            <w:r>
              <w:rPr>
                <w:rFonts w:hint="eastAsia" w:cs="Times New Roman"/>
                <w:color w:val="auto"/>
                <w:lang w:eastAsia="zh-CN"/>
              </w:rPr>
              <w:t>在</w:t>
            </w:r>
            <w:r>
              <w:rPr>
                <w:rFonts w:hint="default" w:ascii="Times New Roman" w:hAnsi="Times New Roman" w:cs="Times New Roman"/>
                <w:color w:val="auto"/>
              </w:rPr>
              <w:t>较空旷位置，此位置所占公共绿地较少，并且便于土方调运</w:t>
            </w:r>
            <w:r>
              <w:rPr>
                <w:rFonts w:hint="default" w:ascii="Times New Roman" w:hAnsi="Times New Roman" w:cs="Times New Roman"/>
                <w:color w:val="auto"/>
                <w:lang w:eastAsia="zh-CN"/>
              </w:rPr>
              <w:t>。</w:t>
            </w:r>
            <w:r>
              <w:rPr>
                <w:rFonts w:hint="default" w:ascii="Times New Roman" w:hAnsi="Times New Roman" w:cs="Times New Roman"/>
                <w:color w:val="auto"/>
              </w:rPr>
              <w:t>施工结束</w:t>
            </w:r>
            <w:r>
              <w:rPr>
                <w:rFonts w:hint="default" w:ascii="Times New Roman" w:hAnsi="Times New Roman" w:cs="Times New Roman"/>
                <w:color w:val="auto"/>
                <w:lang w:eastAsia="zh-CN"/>
              </w:rPr>
              <w:t>，</w:t>
            </w:r>
            <w:r>
              <w:rPr>
                <w:rFonts w:hint="default" w:ascii="Times New Roman" w:hAnsi="Times New Roman" w:cs="Times New Roman"/>
                <w:color w:val="auto"/>
              </w:rPr>
              <w:t>对施工临时占地进行全面</w:t>
            </w:r>
            <w:r>
              <w:rPr>
                <w:rFonts w:hint="default" w:ascii="Times New Roman" w:hAnsi="Times New Roman" w:cs="Times New Roman"/>
                <w:color w:val="auto"/>
                <w:lang w:val="en-US" w:eastAsia="zh-CN"/>
              </w:rPr>
              <w:t>恢复</w:t>
            </w:r>
            <w:r>
              <w:rPr>
                <w:rFonts w:hint="default" w:ascii="Times New Roman" w:hAnsi="Times New Roman" w:cs="Times New Roman"/>
                <w:color w:val="auto"/>
              </w:rPr>
              <w:t>。</w:t>
            </w:r>
          </w:p>
          <w:p w14:paraId="4F029BF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5、弃土场</w:t>
            </w:r>
          </w:p>
          <w:p w14:paraId="464FEB2C">
            <w:pPr>
              <w:pStyle w:val="37"/>
              <w:keepNext w:val="0"/>
              <w:keepLines w:val="0"/>
              <w:pageBreakBefore w:val="0"/>
              <w:widowControl w:val="0"/>
              <w:kinsoku/>
              <w:wordWrap/>
              <w:overflowPunct/>
              <w:topLinePunct w:val="0"/>
              <w:autoSpaceDE/>
              <w:autoSpaceDN/>
              <w:bidi w:val="0"/>
              <w:adjustRightInd/>
              <w:snapToGrid/>
              <w:spacing w:line="360" w:lineRule="auto"/>
              <w:ind w:firstLine="482"/>
              <w:jc w:val="left"/>
              <w:textAlignment w:val="auto"/>
              <w:rPr>
                <w:color w:val="auto"/>
              </w:rPr>
            </w:pPr>
            <w:r>
              <w:rPr>
                <w:rFonts w:hint="default" w:ascii="Times New Roman" w:hAnsi="Times New Roman" w:cs="Times New Roman"/>
                <w:color w:val="auto"/>
              </w:rPr>
              <w:t>工程施工过程中优先遵循土石方平衡原则，土方工程</w:t>
            </w:r>
            <w:r>
              <w:rPr>
                <w:rFonts w:hint="default" w:ascii="Times New Roman" w:hAnsi="Times New Roman" w:cs="Times New Roman"/>
                <w:color w:val="auto"/>
                <w:lang w:val="en-US" w:eastAsia="zh-CN"/>
              </w:rPr>
              <w:t>优先进行</w:t>
            </w:r>
            <w:r>
              <w:rPr>
                <w:rFonts w:hint="default" w:ascii="Times New Roman" w:hAnsi="Times New Roman" w:cs="Times New Roman"/>
                <w:color w:val="auto"/>
              </w:rPr>
              <w:t>内部调用。本工程</w:t>
            </w:r>
            <w:r>
              <w:rPr>
                <w:rFonts w:hint="eastAsia" w:cs="Times New Roman"/>
                <w:color w:val="auto"/>
                <w:lang w:val="en-US" w:eastAsia="zh-CN"/>
              </w:rPr>
              <w:t>不设置</w:t>
            </w:r>
            <w:r>
              <w:rPr>
                <w:rFonts w:hint="default" w:ascii="Times New Roman" w:hAnsi="Times New Roman" w:cs="Times New Roman"/>
                <w:color w:val="auto"/>
              </w:rPr>
              <w:t>弃土场</w:t>
            </w:r>
            <w:r>
              <w:rPr>
                <w:rFonts w:hint="eastAsia" w:cs="Times New Roman"/>
                <w:color w:val="auto"/>
                <w:lang w:eastAsia="zh-CN"/>
              </w:rPr>
              <w:t>，</w:t>
            </w:r>
            <w:r>
              <w:rPr>
                <w:rFonts w:hint="eastAsia" w:cs="Times New Roman"/>
                <w:color w:val="auto"/>
                <w:lang w:val="en-US" w:eastAsia="zh-CN"/>
              </w:rPr>
              <w:t>多余土方进行还田造地</w:t>
            </w:r>
            <w:r>
              <w:rPr>
                <w:rFonts w:hint="eastAsia" w:cs="Times New Roman"/>
                <w:color w:val="auto"/>
                <w:lang w:eastAsia="zh-CN"/>
              </w:rPr>
              <w:t>。</w:t>
            </w:r>
          </w:p>
        </w:tc>
      </w:tr>
      <w:tr w14:paraId="0E62C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59" w:type="dxa"/>
            <w:vAlign w:val="center"/>
          </w:tcPr>
          <w:p w14:paraId="7057277B">
            <w:pPr>
              <w:pStyle w:val="37"/>
              <w:ind w:firstLine="0" w:firstLineChars="0"/>
              <w:jc w:val="center"/>
              <w:rPr>
                <w:color w:val="auto"/>
              </w:rPr>
            </w:pPr>
            <w:r>
              <w:rPr>
                <w:rFonts w:hint="eastAsia"/>
                <w:color w:val="auto"/>
              </w:rPr>
              <w:t>施工方案</w:t>
            </w:r>
          </w:p>
        </w:tc>
        <w:tc>
          <w:tcPr>
            <w:tcW w:w="8173" w:type="dxa"/>
            <w:vAlign w:val="center"/>
          </w:tcPr>
          <w:p w14:paraId="0D36F3BB">
            <w:pPr>
              <w:pStyle w:val="37"/>
              <w:ind w:firstLine="480"/>
              <w:rPr>
                <w:color w:val="auto"/>
              </w:rPr>
            </w:pPr>
            <w:r>
              <w:rPr>
                <w:rFonts w:hint="eastAsia"/>
                <w:color w:val="auto"/>
              </w:rPr>
              <w:t>工程施工主要进行土方开挖与填筑工程。工程主要的施工过程及其污染源和产生的污染物见以下分析图。</w:t>
            </w:r>
          </w:p>
          <w:p w14:paraId="5D042E52">
            <w:pPr>
              <w:pStyle w:val="28"/>
              <w:keepNext/>
              <w:rPr>
                <w:color w:val="auto"/>
              </w:rPr>
            </w:pPr>
            <w:r>
              <w:rPr>
                <w:color w:val="auto"/>
              </w:rPr>
              <w:object>
                <v:shape id="_x0000_i1025" o:spt="75" type="#_x0000_t75" style="height:279.45pt;width:329.25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14:paraId="06F68297">
            <w:pPr>
              <w:ind w:firstLine="482"/>
              <w:jc w:val="center"/>
              <w:rPr>
                <w:rFonts w:hint="default" w:ascii="Times New Roman" w:hAnsi="Times New Roman" w:cs="Times New Roman"/>
                <w:b/>
                <w:bCs/>
                <w:color w:val="auto"/>
              </w:rPr>
            </w:pPr>
            <w:r>
              <w:rPr>
                <w:rFonts w:hint="eastAsia" w:ascii="Times New Roman" w:hAnsi="Times New Roman" w:cs="Times New Roman"/>
                <w:b/>
                <w:bCs/>
                <w:color w:val="auto"/>
              </w:rPr>
              <w:t>图</w:t>
            </w:r>
            <w:r>
              <w:rPr>
                <w:rFonts w:hint="eastAsia" w:ascii="Times New Roman" w:hAnsi="Times New Roman" w:cs="Times New Roman"/>
                <w:b/>
                <w:bCs/>
                <w:color w:val="auto"/>
                <w:lang w:val="en-US" w:eastAsia="zh-CN"/>
              </w:rPr>
              <w:t xml:space="preserve">1   </w:t>
            </w:r>
            <w:r>
              <w:rPr>
                <w:rFonts w:hint="default" w:ascii="Times New Roman" w:hAnsi="Times New Roman" w:cs="Times New Roman"/>
                <w:b/>
                <w:bCs/>
                <w:color w:val="auto"/>
              </w:rPr>
              <w:t>施工期工艺流程及产污节点图</w:t>
            </w:r>
          </w:p>
          <w:p w14:paraId="077CFAE2">
            <w:pPr>
              <w:ind w:firstLine="482"/>
              <w:jc w:val="center"/>
              <w:rPr>
                <w:rFonts w:hint="default" w:ascii="Times New Roman" w:hAnsi="Times New Roman" w:cs="Times New Roman"/>
                <w:b/>
                <w:bCs/>
                <w:color w:val="auto"/>
              </w:rPr>
            </w:pPr>
          </w:p>
          <w:p w14:paraId="686CFDC5">
            <w:pPr>
              <w:pStyle w:val="37"/>
              <w:keepNext w:val="0"/>
              <w:keepLines w:val="0"/>
              <w:pageBreakBefore w:val="0"/>
              <w:widowControl w:val="0"/>
              <w:kinsoku/>
              <w:wordWrap/>
              <w:overflowPunct/>
              <w:topLinePunct w:val="0"/>
              <w:autoSpaceDE/>
              <w:autoSpaceDN/>
              <w:bidi w:val="0"/>
              <w:adjustRightInd/>
              <w:spacing w:line="360" w:lineRule="auto"/>
              <w:ind w:firstLine="480"/>
              <w:textAlignment w:val="auto"/>
              <w:rPr>
                <w:color w:val="auto"/>
              </w:rPr>
            </w:pPr>
            <w:r>
              <w:rPr>
                <w:rFonts w:hint="eastAsia"/>
                <w:color w:val="auto"/>
              </w:rPr>
              <w:t>1、施工条件</w:t>
            </w:r>
          </w:p>
          <w:p w14:paraId="17682C6D">
            <w:pPr>
              <w:pStyle w:val="37"/>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color w:val="auto"/>
                <w:lang w:val="zh-CN" w:eastAsia="zh-CN"/>
              </w:rPr>
            </w:pPr>
            <w:r>
              <w:rPr>
                <w:rFonts w:hint="default"/>
                <w:color w:val="auto"/>
                <w:lang w:val="zh-CN" w:eastAsia="zh-CN"/>
              </w:rPr>
              <w:t>（</w:t>
            </w:r>
            <w:r>
              <w:rPr>
                <w:rFonts w:hint="default"/>
                <w:color w:val="auto"/>
                <w:lang w:val="en-US" w:eastAsia="zh-CN"/>
              </w:rPr>
              <w:t>1</w:t>
            </w:r>
            <w:r>
              <w:rPr>
                <w:rFonts w:hint="default"/>
                <w:color w:val="auto"/>
                <w:lang w:val="zh-CN" w:eastAsia="zh-CN"/>
              </w:rPr>
              <w:t>）施工准备：</w:t>
            </w:r>
          </w:p>
          <w:p w14:paraId="106ADEBC">
            <w:pPr>
              <w:pStyle w:val="37"/>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color w:val="auto"/>
                <w:lang w:val="en-US" w:eastAsia="zh-CN"/>
              </w:rPr>
            </w:pPr>
            <w:r>
              <w:rPr>
                <w:rFonts w:hint="default"/>
                <w:color w:val="auto"/>
                <w:lang w:val="en-US" w:eastAsia="zh-CN"/>
              </w:rPr>
              <w:t>工程施工前准备主要包括料场核查，设备和材料的准备。</w:t>
            </w:r>
          </w:p>
          <w:p w14:paraId="73F171DD">
            <w:pPr>
              <w:pStyle w:val="37"/>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color w:val="auto"/>
                <w:lang w:val="en-US" w:eastAsia="zh-CN"/>
              </w:rPr>
            </w:pPr>
            <w:r>
              <w:rPr>
                <w:rFonts w:hint="default"/>
                <w:color w:val="auto"/>
                <w:lang w:val="en-US" w:eastAsia="zh-CN"/>
              </w:rPr>
              <w:t>（2）主体施工：</w:t>
            </w:r>
          </w:p>
          <w:p w14:paraId="4CACA681">
            <w:pPr>
              <w:pStyle w:val="37"/>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color w:val="auto"/>
                <w:lang w:val="en-US" w:eastAsia="zh-CN"/>
              </w:rPr>
            </w:pPr>
            <w:r>
              <w:rPr>
                <w:rFonts w:hint="default"/>
                <w:color w:val="auto"/>
                <w:lang w:val="en-US" w:eastAsia="zh-CN"/>
              </w:rPr>
              <w:t>堤防工程施工前需要进行施工导流，为避免增加临时工程量，临河侧基础及护坡施工在枯水期进行，避开汛期施工。本工程施工导流围堰为</w:t>
            </w:r>
            <w:r>
              <w:rPr>
                <w:rFonts w:hint="eastAsia"/>
                <w:color w:val="auto"/>
                <w:lang w:val="en-US" w:eastAsia="zh-CN"/>
              </w:rPr>
              <w:t>土石</w:t>
            </w:r>
            <w:r>
              <w:rPr>
                <w:rFonts w:hint="default"/>
                <w:color w:val="auto"/>
                <w:lang w:val="en-US" w:eastAsia="zh-CN"/>
              </w:rPr>
              <w:t>围堰，围堰采用坡面铺设人工塑料布防渗，堰体采用砂砾石编织袋护坡。</w:t>
            </w:r>
          </w:p>
          <w:p w14:paraId="2D507EBF">
            <w:pPr>
              <w:keepNext w:val="0"/>
              <w:keepLines w:val="0"/>
              <w:pageBreakBefore w:val="0"/>
              <w:widowControl w:val="0"/>
              <w:kinsoku/>
              <w:wordWrap/>
              <w:overflowPunct/>
              <w:topLinePunct w:val="0"/>
              <w:autoSpaceDE/>
              <w:autoSpaceDN/>
              <w:bidi w:val="0"/>
              <w:adjustRightInd/>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①</w:t>
            </w:r>
            <w:r>
              <w:rPr>
                <w:rFonts w:hint="eastAsia" w:cs="Times New Roman"/>
                <w:color w:val="auto"/>
                <w:sz w:val="24"/>
                <w:szCs w:val="24"/>
              </w:rPr>
              <w:t>测量、放线：测量人员在开挖前先放出开挖线，现场施工员根据开挖线进行开挖基坑。</w:t>
            </w:r>
          </w:p>
          <w:p w14:paraId="5C301391">
            <w:pPr>
              <w:keepNext w:val="0"/>
              <w:keepLines w:val="0"/>
              <w:pageBreakBefore w:val="0"/>
              <w:widowControl w:val="0"/>
              <w:kinsoku/>
              <w:wordWrap/>
              <w:overflowPunct/>
              <w:topLinePunct w:val="0"/>
              <w:autoSpaceDE/>
              <w:autoSpaceDN/>
              <w:bidi w:val="0"/>
              <w:adjustRightInd/>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②</w:t>
            </w:r>
            <w:r>
              <w:rPr>
                <w:rFonts w:hint="eastAsia" w:cs="Times New Roman"/>
                <w:color w:val="auto"/>
                <w:sz w:val="24"/>
                <w:szCs w:val="24"/>
              </w:rPr>
              <w:t>基坑开挖：现场施工员在进行土方开挖前，先对表层进行剥离、清表，开挖时按1：</w:t>
            </w:r>
            <w:r>
              <w:rPr>
                <w:rFonts w:hint="eastAsia" w:cs="Times New Roman"/>
                <w:color w:val="auto"/>
                <w:sz w:val="24"/>
                <w:szCs w:val="24"/>
                <w:lang w:val="en-US" w:eastAsia="zh-CN"/>
              </w:rPr>
              <w:t>0.3</w:t>
            </w:r>
            <w:r>
              <w:rPr>
                <w:rFonts w:hint="eastAsia" w:cs="Times New Roman"/>
                <w:color w:val="auto"/>
                <w:sz w:val="24"/>
                <w:szCs w:val="24"/>
              </w:rPr>
              <w:t>的坡度放坡开挖。开挖过后的基坑宽度不得小于设计宽度，并且两侧要有不小于50cm宽的操作位置，以利于施工。此环节主要污染为机械噪声、基坑开挖过程中产生的清基垃圾、弃土方及施工过程产生扬尘。</w:t>
            </w:r>
          </w:p>
          <w:p w14:paraId="16EC5E31">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③</w:t>
            </w:r>
            <w:r>
              <w:rPr>
                <w:rFonts w:hint="eastAsia" w:cs="Times New Roman"/>
                <w:color w:val="auto"/>
                <w:sz w:val="24"/>
                <w:szCs w:val="24"/>
              </w:rPr>
              <w:t>基底浇筑：基坑开挖后，在浇筑混凝土前需把基坑内石渣等杂物全部清理干净，检测基底承载力，各项指标达到设计要求后浇筑基底混凝土。具体施工包括：</w:t>
            </w:r>
          </w:p>
          <w:p w14:paraId="5143FD10">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A.</w:t>
            </w:r>
            <w:r>
              <w:rPr>
                <w:rFonts w:hint="eastAsia" w:cs="Times New Roman"/>
                <w:color w:val="auto"/>
                <w:sz w:val="24"/>
                <w:szCs w:val="24"/>
              </w:rPr>
              <w:t>测量放线：测量人员利用全站仪放出中边线，确保基底混凝土浇筑位置准确。基底表面应干净，并湿润。</w:t>
            </w:r>
          </w:p>
          <w:p w14:paraId="03FA27AE">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B.</w:t>
            </w:r>
            <w:r>
              <w:rPr>
                <w:rFonts w:hint="eastAsia" w:cs="Times New Roman"/>
                <w:color w:val="auto"/>
                <w:sz w:val="24"/>
                <w:szCs w:val="24"/>
              </w:rPr>
              <w:t>浇筑要分层浇筑，每层不大于30cm，振捣要符合振捣要求，保证混凝土密实。</w:t>
            </w:r>
          </w:p>
          <w:p w14:paraId="0C9C371B">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C.</w:t>
            </w:r>
            <w:r>
              <w:rPr>
                <w:rFonts w:hint="eastAsia" w:cs="Times New Roman"/>
                <w:color w:val="auto"/>
                <w:sz w:val="24"/>
                <w:szCs w:val="24"/>
              </w:rPr>
              <w:t>砌筑过程及结束后一定要随时洒水、覆盖，做好养护工作。混凝土初凝后，洒水覆盖养生7</w:t>
            </w:r>
            <w:r>
              <w:rPr>
                <w:rFonts w:hint="eastAsia" w:cs="Times New Roman"/>
                <w:color w:val="auto"/>
                <w:sz w:val="24"/>
                <w:szCs w:val="24"/>
                <w:lang w:eastAsia="zh-CN"/>
              </w:rPr>
              <w:t>～</w:t>
            </w:r>
            <w:r>
              <w:rPr>
                <w:rFonts w:hint="eastAsia" w:cs="Times New Roman"/>
                <w:color w:val="auto"/>
                <w:sz w:val="24"/>
                <w:szCs w:val="24"/>
              </w:rPr>
              <w:t>14天。</w:t>
            </w:r>
          </w:p>
          <w:p w14:paraId="7DA38177">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480"/>
              <w:jc w:val="left"/>
              <w:textAlignment w:val="auto"/>
              <w:rPr>
                <w:rFonts w:hint="default" w:cs="Times New Roman"/>
                <w:color w:val="auto"/>
                <w:sz w:val="24"/>
                <w:szCs w:val="24"/>
              </w:rPr>
            </w:pPr>
            <w:r>
              <w:rPr>
                <w:rFonts w:hint="default" w:cs="Times New Roman"/>
                <w:color w:val="auto"/>
                <w:sz w:val="24"/>
                <w:szCs w:val="24"/>
              </w:rPr>
              <w:t>D.</w:t>
            </w:r>
            <w:r>
              <w:rPr>
                <w:rFonts w:hint="eastAsia" w:cs="Times New Roman"/>
                <w:color w:val="auto"/>
                <w:sz w:val="24"/>
                <w:szCs w:val="24"/>
              </w:rPr>
              <w:t>混凝土基底沉降缝、伸缩缝的设置均应符合设计要求，不超过允许偏差。每道缝的设置应与沉降缝设计一致。</w:t>
            </w:r>
          </w:p>
          <w:p w14:paraId="3865C2B6">
            <w:pPr>
              <w:pStyle w:val="37"/>
              <w:keepNext w:val="0"/>
              <w:keepLines w:val="0"/>
              <w:pageBreakBefore w:val="0"/>
              <w:widowControl w:val="0"/>
              <w:kinsoku/>
              <w:wordWrap/>
              <w:overflowPunct/>
              <w:topLinePunct w:val="0"/>
              <w:autoSpaceDE/>
              <w:autoSpaceDN/>
              <w:bidi w:val="0"/>
              <w:adjustRightInd/>
              <w:spacing w:line="360" w:lineRule="auto"/>
              <w:textAlignment w:val="auto"/>
              <w:rPr>
                <w:rFonts w:hint="default"/>
                <w:color w:val="auto"/>
                <w:lang w:val="en-US" w:eastAsia="zh-CN"/>
              </w:rPr>
            </w:pPr>
            <w:r>
              <w:rPr>
                <w:rFonts w:hint="eastAsia"/>
                <w:color w:val="auto"/>
                <w:lang w:val="en-US" w:eastAsia="zh-CN"/>
              </w:rPr>
              <w:t>②挡墙砌护、土方回填</w:t>
            </w:r>
          </w:p>
          <w:p w14:paraId="66703169">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cs="Times New Roman"/>
                <w:color w:val="auto"/>
              </w:rPr>
            </w:pPr>
            <w:r>
              <w:rPr>
                <w:rFonts w:hint="default" w:ascii="Times New Roman" w:hAnsi="Times New Roman" w:cs="Times New Roman"/>
                <w:color w:val="auto"/>
              </w:rPr>
              <w:t>根据施工详图的开挖线、坡度和尺寸进行土方开挖后。采用M7.5浆砌石进行挡墙砌护，砌护完成后，采用土方进行分层回填、压实。此环节主要污染为施工噪声、建筑垃圾、施工过程产生扬尘。</w:t>
            </w:r>
          </w:p>
          <w:p w14:paraId="516DD71F">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b/>
                <w:bCs/>
                <w:color w:val="auto"/>
                <w:lang w:val="en-US" w:eastAsia="zh-CN"/>
              </w:rPr>
              <w:t>③</w:t>
            </w:r>
            <w:r>
              <w:rPr>
                <w:rFonts w:hint="default" w:ascii="Times New Roman" w:hAnsi="Times New Roman" w:cs="Times New Roman"/>
                <w:color w:val="auto"/>
              </w:rPr>
              <w:t>清理现场、临时占地恢复、竣工验收：</w:t>
            </w:r>
          </w:p>
          <w:p w14:paraId="2DD264A9">
            <w:pPr>
              <w:keepNext w:val="0"/>
              <w:keepLines w:val="0"/>
              <w:pageBreakBefore w:val="0"/>
              <w:widowControl w:val="0"/>
              <w:kinsoku/>
              <w:wordWrap/>
              <w:overflowPunct/>
              <w:topLinePunct w:val="0"/>
              <w:autoSpaceDE/>
              <w:autoSpaceDN/>
              <w:bidi w:val="0"/>
              <w:adjustRightInd/>
              <w:spacing w:line="360" w:lineRule="auto"/>
              <w:ind w:firstLine="480" w:firstLineChars="200"/>
              <w:jc w:val="both"/>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rPr>
              <w:t>项目建设完成后，首先清理施工现场，对临时占地进行场地恢复，道路清扫干净恢复原貌，绿地种植绿植恢复。</w:t>
            </w:r>
            <w:r>
              <w:rPr>
                <w:rFonts w:hint="default" w:ascii="Times New Roman" w:hAnsi="Times New Roman" w:cs="Times New Roman"/>
                <w:color w:val="auto"/>
                <w:lang w:val="en-US" w:eastAsia="zh-CN"/>
              </w:rPr>
              <w:t>此环节主要污染为地表垃圾。</w:t>
            </w:r>
          </w:p>
          <w:p w14:paraId="43D93A3F">
            <w:pPr>
              <w:keepNext w:val="0"/>
              <w:keepLines w:val="0"/>
              <w:pageBreakBefore w:val="0"/>
              <w:widowControl w:val="0"/>
              <w:kinsoku/>
              <w:wordWrap/>
              <w:overflowPunct/>
              <w:topLinePunct w:val="0"/>
              <w:autoSpaceDE/>
              <w:autoSpaceDN/>
              <w:bidi w:val="0"/>
              <w:adjustRightInd/>
              <w:spacing w:line="360" w:lineRule="auto"/>
              <w:ind w:firstLine="482"/>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主要污染工序：</w:t>
            </w:r>
          </w:p>
          <w:p w14:paraId="21F770E2">
            <w:pPr>
              <w:pStyle w:val="60"/>
              <w:keepNext w:val="0"/>
              <w:keepLines w:val="0"/>
              <w:pageBreakBefore w:val="0"/>
              <w:widowControl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color w:val="auto"/>
              </w:rPr>
            </w:pPr>
            <w:r>
              <w:rPr>
                <w:rFonts w:hint="default" w:ascii="Times New Roman" w:hAnsi="Times New Roman" w:cs="Times New Roman"/>
                <w:color w:val="auto"/>
              </w:rPr>
              <w:t>本工程属于生态治理类项目，污染主要在施工期。本项目施工期对环境的影响主要表现为施工扬尘、施工机械设备</w:t>
            </w:r>
            <w:r>
              <w:rPr>
                <w:rFonts w:hint="default" w:ascii="Times New Roman" w:hAnsi="Times New Roman" w:cs="Times New Roman"/>
                <w:color w:val="auto"/>
                <w:lang w:eastAsia="zh-CN"/>
              </w:rPr>
              <w:t>、</w:t>
            </w:r>
            <w:r>
              <w:rPr>
                <w:rFonts w:hint="default" w:ascii="Times New Roman" w:hAnsi="Times New Roman" w:cs="Times New Roman"/>
                <w:color w:val="auto"/>
              </w:rPr>
              <w:t>运输车辆废气；施工人员生活污水、施工机械设备及车辆冲洗废水；施工机械噪声、施工作业噪声和施工车辆噪声；</w:t>
            </w:r>
            <w:r>
              <w:rPr>
                <w:rFonts w:hint="default" w:ascii="Times New Roman" w:hAnsi="Times New Roman" w:cs="Times New Roman"/>
                <w:color w:val="auto"/>
                <w:lang w:val="en-US" w:eastAsia="zh-CN"/>
              </w:rPr>
              <w:t>清基垃圾、弃方、</w:t>
            </w:r>
            <w:r>
              <w:rPr>
                <w:rFonts w:hint="default" w:ascii="Times New Roman" w:hAnsi="Times New Roman" w:cs="Times New Roman"/>
                <w:color w:val="auto"/>
                <w:kern w:val="0"/>
                <w:lang w:bidi="ar"/>
              </w:rPr>
              <w:t>建筑垃圾和施工人员的生活垃圾</w:t>
            </w:r>
            <w:r>
              <w:rPr>
                <w:rFonts w:hint="default" w:ascii="Times New Roman" w:hAnsi="Times New Roman" w:cs="Times New Roman"/>
                <w:color w:val="auto"/>
              </w:rPr>
              <w:t>等。</w:t>
            </w:r>
          </w:p>
          <w:p w14:paraId="4C2F09FB">
            <w:pPr>
              <w:keepNext w:val="0"/>
              <w:keepLines w:val="0"/>
              <w:pageBreakBefore w:val="0"/>
              <w:widowControl w:val="0"/>
              <w:kinsoku/>
              <w:wordWrap/>
              <w:overflowPunct/>
              <w:topLinePunct w:val="0"/>
              <w:autoSpaceDE/>
              <w:autoSpaceDN/>
              <w:bidi w:val="0"/>
              <w:adjustRightInd/>
              <w:spacing w:line="360" w:lineRule="auto"/>
              <w:ind w:firstLine="482"/>
              <w:jc w:val="left"/>
              <w:textAlignment w:val="auto"/>
              <w:rPr>
                <w:rFonts w:hint="default" w:ascii="Times New Roman" w:hAnsi="Times New Roman" w:cs="Times New Roman"/>
                <w:b/>
                <w:bCs/>
                <w:color w:val="auto"/>
              </w:rPr>
            </w:pPr>
            <w:r>
              <w:rPr>
                <w:rFonts w:hint="default" w:ascii="Times New Roman" w:hAnsi="Times New Roman" w:cs="Times New Roman"/>
                <w:b/>
                <w:bCs/>
                <w:color w:val="auto"/>
              </w:rPr>
              <w:t>2、施工周期</w:t>
            </w:r>
          </w:p>
          <w:p w14:paraId="3BADAD67">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由于受河道季节来水影响较大，基础开挖等工程工期应安排在</w:t>
            </w:r>
            <w:r>
              <w:rPr>
                <w:rFonts w:hint="default" w:ascii="Times New Roman" w:hAnsi="Times New Roman" w:cs="Times New Roman"/>
                <w:color w:val="auto"/>
                <w:lang w:val="en-US" w:eastAsia="zh-CN"/>
              </w:rPr>
              <w:t>非雨季</w:t>
            </w:r>
            <w:r>
              <w:rPr>
                <w:rFonts w:hint="default" w:ascii="Times New Roman" w:hAnsi="Times New Roman" w:cs="Times New Roman"/>
                <w:color w:val="auto"/>
              </w:rPr>
              <w:t>施工，预计总工期</w:t>
            </w:r>
            <w:r>
              <w:rPr>
                <w:rFonts w:hint="eastAsia" w:cs="Times New Roman"/>
                <w:color w:val="auto"/>
                <w:lang w:val="en-US" w:eastAsia="zh-CN"/>
              </w:rPr>
              <w:t>10</w:t>
            </w:r>
            <w:r>
              <w:rPr>
                <w:rFonts w:hint="default" w:ascii="Times New Roman" w:hAnsi="Times New Roman" w:cs="Times New Roman"/>
                <w:color w:val="auto"/>
              </w:rPr>
              <w:t>个月，于20</w:t>
            </w:r>
            <w:r>
              <w:rPr>
                <w:rFonts w:hint="eastAsia" w:ascii="Times New Roman" w:hAnsi="Times New Roman" w:cs="Times New Roman"/>
                <w:color w:val="auto"/>
                <w:lang w:val="en-US" w:eastAsia="zh-CN"/>
              </w:rPr>
              <w:t>24年</w:t>
            </w:r>
            <w:r>
              <w:rPr>
                <w:rFonts w:hint="eastAsia" w:cs="Times New Roman"/>
                <w:color w:val="auto"/>
                <w:lang w:val="en-US" w:eastAsia="zh-CN"/>
              </w:rPr>
              <w:t>5月</w:t>
            </w:r>
            <w:r>
              <w:rPr>
                <w:rFonts w:hint="default" w:ascii="Times New Roman" w:hAnsi="Times New Roman" w:cs="Times New Roman"/>
                <w:color w:val="auto"/>
              </w:rPr>
              <w:t>开工建设，</w:t>
            </w:r>
            <w:r>
              <w:rPr>
                <w:rFonts w:hint="default" w:ascii="Times New Roman" w:hAnsi="Times New Roman" w:cs="Times New Roman"/>
                <w:color w:val="auto"/>
                <w:lang w:val="en-US" w:eastAsia="zh-CN"/>
              </w:rPr>
              <w:t>并于</w:t>
            </w:r>
            <w:r>
              <w:rPr>
                <w:rFonts w:hint="eastAsia" w:ascii="Times New Roman" w:hAnsi="Times New Roman" w:cs="Times New Roman"/>
                <w:color w:val="auto"/>
                <w:lang w:val="en-US" w:eastAsia="zh-CN"/>
              </w:rPr>
              <w:t>202</w:t>
            </w:r>
            <w:r>
              <w:rPr>
                <w:rFonts w:hint="eastAsia" w:cs="Times New Roman"/>
                <w:color w:val="auto"/>
                <w:lang w:val="en-US" w:eastAsia="zh-CN"/>
              </w:rPr>
              <w:t>5</w:t>
            </w:r>
            <w:r>
              <w:rPr>
                <w:rFonts w:hint="default" w:ascii="Times New Roman" w:hAnsi="Times New Roman" w:cs="Times New Roman"/>
                <w:color w:val="auto"/>
                <w:lang w:val="en-US" w:eastAsia="zh-CN"/>
              </w:rPr>
              <w:t>年</w:t>
            </w:r>
            <w:r>
              <w:rPr>
                <w:rFonts w:hint="eastAsia" w:cs="Times New Roman"/>
                <w:color w:val="auto"/>
                <w:lang w:val="en-US" w:eastAsia="zh-CN"/>
              </w:rPr>
              <w:t>3月</w:t>
            </w:r>
            <w:r>
              <w:rPr>
                <w:rFonts w:hint="default" w:ascii="Times New Roman" w:hAnsi="Times New Roman" w:cs="Times New Roman"/>
                <w:color w:val="auto"/>
                <w:lang w:val="en-US" w:eastAsia="zh-CN"/>
              </w:rPr>
              <w:t>完成建设。</w:t>
            </w:r>
          </w:p>
          <w:p w14:paraId="4AA1D0CC">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3、施工时序</w:t>
            </w:r>
          </w:p>
          <w:p w14:paraId="75BB56E1">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本工程施工总工期为</w:t>
            </w:r>
            <w:r>
              <w:rPr>
                <w:rFonts w:hint="eastAsia" w:cs="Times New Roman"/>
                <w:color w:val="auto"/>
                <w:lang w:val="en-US" w:eastAsia="zh-CN"/>
              </w:rPr>
              <w:t>10</w:t>
            </w:r>
            <w:r>
              <w:rPr>
                <w:rFonts w:hint="default" w:ascii="Times New Roman" w:hAnsi="Times New Roman" w:cs="Times New Roman"/>
                <w:color w:val="auto"/>
                <w:lang w:val="en-US" w:eastAsia="zh-CN"/>
              </w:rPr>
              <w:t>个月。根据施工程序和各时期施工重点不同，将施工总进度分为三个阶段：</w:t>
            </w:r>
          </w:p>
          <w:p w14:paraId="1BE85805">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工程筹建期：</w:t>
            </w:r>
            <w:r>
              <w:rPr>
                <w:rFonts w:hint="eastAsia" w:cs="Times New Roman"/>
                <w:color w:val="auto"/>
                <w:lang w:val="en-US" w:eastAsia="zh-CN"/>
              </w:rPr>
              <w:t>1</w:t>
            </w:r>
            <w:r>
              <w:rPr>
                <w:rFonts w:hint="default" w:ascii="Times New Roman" w:hAnsi="Times New Roman" w:cs="Times New Roman"/>
                <w:color w:val="auto"/>
                <w:lang w:val="en-US" w:eastAsia="zh-CN"/>
              </w:rPr>
              <w:t>个月，在施工前由建设单位做好工程的勘察设计、招投标工作，选定施工单位，并做好工程对外交通、施工供电、施工通信工作等。</w:t>
            </w:r>
          </w:p>
          <w:p w14:paraId="5153DE92">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主体工程施工期：</w:t>
            </w:r>
            <w:r>
              <w:rPr>
                <w:rFonts w:hint="eastAsia" w:cs="Times New Roman"/>
                <w:color w:val="auto"/>
                <w:lang w:val="en-US" w:eastAsia="zh-CN"/>
              </w:rPr>
              <w:t>8</w:t>
            </w:r>
            <w:r>
              <w:rPr>
                <w:rFonts w:hint="default" w:ascii="Times New Roman" w:hAnsi="Times New Roman" w:cs="Times New Roman"/>
                <w:color w:val="auto"/>
                <w:lang w:val="en-US" w:eastAsia="zh-CN"/>
              </w:rPr>
              <w:t>个月，完成各主要工程施工。</w:t>
            </w:r>
          </w:p>
          <w:p w14:paraId="00AA770B">
            <w:pPr>
              <w:pStyle w:val="37"/>
              <w:keepNext w:val="0"/>
              <w:keepLines w:val="0"/>
              <w:pageBreakBefore w:val="0"/>
              <w:widowControl w:val="0"/>
              <w:kinsoku/>
              <w:wordWrap/>
              <w:overflowPunct/>
              <w:topLinePunct w:val="0"/>
              <w:autoSpaceDE/>
              <w:autoSpaceDN/>
              <w:bidi w:val="0"/>
              <w:adjustRightInd/>
              <w:spacing w:line="360" w:lineRule="auto"/>
              <w:ind w:firstLine="480"/>
              <w:jc w:val="left"/>
              <w:textAlignment w:val="auto"/>
              <w:rPr>
                <w:color w:val="auto"/>
              </w:rPr>
            </w:pPr>
            <w:r>
              <w:rPr>
                <w:rFonts w:hint="default" w:ascii="Times New Roman" w:hAnsi="Times New Roman" w:cs="Times New Roman"/>
                <w:color w:val="auto"/>
                <w:lang w:val="en-US" w:eastAsia="zh-CN"/>
              </w:rPr>
              <w:t>工程完建期：</w:t>
            </w:r>
            <w:r>
              <w:rPr>
                <w:rFonts w:hint="eastAsia" w:cs="Times New Roman"/>
                <w:color w:val="auto"/>
                <w:lang w:val="en-US" w:eastAsia="zh-CN"/>
              </w:rPr>
              <w:t>1</w:t>
            </w:r>
            <w:r>
              <w:rPr>
                <w:rFonts w:hint="default" w:ascii="Times New Roman" w:hAnsi="Times New Roman" w:cs="Times New Roman"/>
                <w:color w:val="auto"/>
                <w:lang w:val="en-US" w:eastAsia="zh-CN"/>
              </w:rPr>
              <w:t>个月，主体工程施工</w:t>
            </w:r>
            <w:r>
              <w:rPr>
                <w:rFonts w:hint="eastAsia" w:cs="Times New Roman"/>
                <w:color w:val="auto"/>
                <w:lang w:val="en-US" w:eastAsia="zh-CN"/>
              </w:rPr>
              <w:t>完成</w:t>
            </w:r>
            <w:r>
              <w:rPr>
                <w:rFonts w:hint="default" w:ascii="Times New Roman" w:hAnsi="Times New Roman" w:cs="Times New Roman"/>
                <w:color w:val="auto"/>
                <w:lang w:val="en-US" w:eastAsia="zh-CN"/>
              </w:rPr>
              <w:t>后，进行施工场地恢复、建设单位退场等扫尾工作。</w:t>
            </w:r>
          </w:p>
        </w:tc>
      </w:tr>
      <w:tr w14:paraId="4745E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59" w:type="dxa"/>
            <w:vAlign w:val="center"/>
          </w:tcPr>
          <w:p w14:paraId="29C78C25">
            <w:pPr>
              <w:pStyle w:val="37"/>
              <w:ind w:firstLine="0" w:firstLineChars="0"/>
              <w:jc w:val="center"/>
              <w:rPr>
                <w:color w:val="auto"/>
              </w:rPr>
            </w:pPr>
            <w:r>
              <w:rPr>
                <w:rFonts w:hint="eastAsia"/>
                <w:color w:val="auto"/>
              </w:rPr>
              <w:t>其他</w:t>
            </w:r>
          </w:p>
        </w:tc>
        <w:tc>
          <w:tcPr>
            <w:tcW w:w="8173" w:type="dxa"/>
            <w:vAlign w:val="center"/>
          </w:tcPr>
          <w:p w14:paraId="42FF6E51">
            <w:pPr>
              <w:pStyle w:val="37"/>
              <w:ind w:left="0" w:leftChars="0" w:firstLine="0" w:firstLineChars="0"/>
              <w:jc w:val="center"/>
              <w:rPr>
                <w:rFonts w:hint="eastAsia"/>
                <w:color w:val="auto"/>
              </w:rPr>
            </w:pPr>
          </w:p>
          <w:p w14:paraId="2C1FB8F7">
            <w:pPr>
              <w:pStyle w:val="37"/>
              <w:ind w:left="0" w:leftChars="0" w:firstLine="0" w:firstLineChars="0"/>
              <w:jc w:val="center"/>
              <w:rPr>
                <w:rFonts w:hint="eastAsia"/>
                <w:color w:val="auto"/>
              </w:rPr>
            </w:pPr>
          </w:p>
          <w:p w14:paraId="4485A8B4">
            <w:pPr>
              <w:pStyle w:val="37"/>
              <w:ind w:left="0" w:leftChars="0" w:firstLine="0" w:firstLineChars="0"/>
              <w:jc w:val="center"/>
              <w:rPr>
                <w:rFonts w:hint="eastAsia"/>
                <w:color w:val="auto"/>
              </w:rPr>
            </w:pPr>
          </w:p>
          <w:p w14:paraId="6C9AFC2B">
            <w:pPr>
              <w:pStyle w:val="37"/>
              <w:ind w:left="0" w:leftChars="0" w:firstLine="0" w:firstLineChars="0"/>
              <w:jc w:val="center"/>
              <w:rPr>
                <w:rFonts w:hint="eastAsia"/>
                <w:color w:val="auto"/>
              </w:rPr>
            </w:pPr>
          </w:p>
          <w:p w14:paraId="458FE8ED">
            <w:pPr>
              <w:pStyle w:val="37"/>
              <w:ind w:left="0" w:leftChars="0" w:firstLine="0" w:firstLineChars="0"/>
              <w:jc w:val="center"/>
              <w:rPr>
                <w:rFonts w:hint="eastAsia"/>
                <w:color w:val="auto"/>
              </w:rPr>
            </w:pPr>
            <w:r>
              <w:rPr>
                <w:rFonts w:hint="eastAsia"/>
                <w:color w:val="auto"/>
              </w:rPr>
              <w:t>无</w:t>
            </w:r>
          </w:p>
          <w:p w14:paraId="1879A371">
            <w:pPr>
              <w:pStyle w:val="37"/>
              <w:ind w:left="0" w:leftChars="0" w:firstLine="0" w:firstLineChars="0"/>
              <w:jc w:val="center"/>
              <w:rPr>
                <w:rFonts w:hint="eastAsia"/>
                <w:color w:val="auto"/>
              </w:rPr>
            </w:pPr>
          </w:p>
          <w:p w14:paraId="58070917">
            <w:pPr>
              <w:pStyle w:val="37"/>
              <w:ind w:firstLine="480"/>
              <w:jc w:val="center"/>
              <w:rPr>
                <w:rFonts w:hint="eastAsia"/>
                <w:color w:val="auto"/>
              </w:rPr>
            </w:pPr>
          </w:p>
          <w:p w14:paraId="7542C4B4">
            <w:pPr>
              <w:pStyle w:val="37"/>
              <w:ind w:left="0" w:leftChars="0" w:firstLine="0" w:firstLineChars="0"/>
              <w:jc w:val="both"/>
              <w:rPr>
                <w:rFonts w:hint="eastAsia" w:eastAsia="宋体"/>
                <w:color w:val="auto"/>
                <w:lang w:eastAsia="zh-CN"/>
              </w:rPr>
            </w:pPr>
          </w:p>
        </w:tc>
      </w:tr>
    </w:tbl>
    <w:p w14:paraId="58E11FC5">
      <w:pPr>
        <w:pStyle w:val="28"/>
        <w:rPr>
          <w:color w:val="auto"/>
        </w:rPr>
        <w:sectPr>
          <w:pgSz w:w="11906" w:h="16838"/>
          <w:pgMar w:top="1440" w:right="1559" w:bottom="1440" w:left="1531" w:header="851" w:footer="992" w:gutter="0"/>
          <w:cols w:space="425" w:num="1"/>
          <w:docGrid w:type="lines" w:linePitch="326" w:charSpace="0"/>
        </w:sectPr>
      </w:pPr>
    </w:p>
    <w:p w14:paraId="77A84F1E">
      <w:pPr>
        <w:pStyle w:val="29"/>
        <w:rPr>
          <w:color w:val="auto"/>
        </w:rPr>
      </w:pPr>
      <w:r>
        <w:rPr>
          <w:rFonts w:hint="eastAsia"/>
          <w:color w:val="auto"/>
        </w:rPr>
        <w:t>三、生态环境现状、保护目标及评价标准</w:t>
      </w:r>
    </w:p>
    <w:tbl>
      <w:tblPr>
        <w:tblStyle w:val="19"/>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8216"/>
      </w:tblGrid>
      <w:tr w14:paraId="60C33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455682F9">
            <w:pPr>
              <w:pStyle w:val="37"/>
              <w:ind w:firstLine="0" w:firstLineChars="0"/>
              <w:jc w:val="center"/>
              <w:rPr>
                <w:color w:val="auto"/>
              </w:rPr>
            </w:pPr>
            <w:r>
              <w:rPr>
                <w:rFonts w:hint="eastAsia"/>
                <w:color w:val="auto"/>
              </w:rPr>
              <w:t>生态环境现状</w:t>
            </w:r>
          </w:p>
        </w:tc>
        <w:tc>
          <w:tcPr>
            <w:tcW w:w="8216" w:type="dxa"/>
            <w:vAlign w:val="center"/>
          </w:tcPr>
          <w:p w14:paraId="4D75947B">
            <w:pPr>
              <w:keepNext w:val="0"/>
              <w:keepLines w:val="0"/>
              <w:pageBreakBefore w:val="0"/>
              <w:kinsoku/>
              <w:wordWrap/>
              <w:overflowPunct/>
              <w:topLinePunct w:val="0"/>
              <w:autoSpaceDE/>
              <w:autoSpaceDN/>
              <w:bidi w:val="0"/>
              <w:adjustRightInd w:val="0"/>
              <w:snapToGrid w:val="0"/>
              <w:spacing w:line="360" w:lineRule="auto"/>
              <w:ind w:firstLine="482"/>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1、环境空气质量现状</w:t>
            </w:r>
          </w:p>
          <w:p w14:paraId="0FB02210">
            <w:pPr>
              <w:keepNext w:val="0"/>
              <w:keepLines w:val="0"/>
              <w:pageBreakBefore w:val="0"/>
              <w:tabs>
                <w:tab w:val="left" w:pos="8607"/>
              </w:tabs>
              <w:kinsoku/>
              <w:wordWrap/>
              <w:overflowPunct/>
              <w:topLinePunct w:val="0"/>
              <w:autoSpaceDE/>
              <w:autoSpaceDN/>
              <w:bidi w:val="0"/>
              <w:adjustRightInd w:val="0"/>
              <w:snapToGrid w:val="0"/>
              <w:spacing w:line="360" w:lineRule="auto"/>
              <w:ind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本项目位于西安市</w:t>
            </w:r>
            <w:r>
              <w:rPr>
                <w:rFonts w:hint="eastAsia" w:ascii="Times New Roman" w:hAnsi="Times New Roman" w:eastAsia="宋体" w:cs="Times New Roman"/>
                <w:color w:val="auto"/>
                <w:kern w:val="2"/>
                <w:sz w:val="24"/>
                <w:szCs w:val="24"/>
                <w:lang w:val="en-US" w:eastAsia="zh-CN" w:bidi="ar-SA"/>
              </w:rPr>
              <w:t>周至县</w:t>
            </w:r>
            <w:r>
              <w:rPr>
                <w:rFonts w:hint="default" w:ascii="Times New Roman" w:hAnsi="Times New Roman" w:eastAsia="宋体" w:cs="Times New Roman"/>
                <w:color w:val="auto"/>
                <w:kern w:val="2"/>
                <w:sz w:val="24"/>
                <w:szCs w:val="24"/>
                <w:lang w:val="en-US" w:eastAsia="zh-CN" w:bidi="ar-SA"/>
              </w:rPr>
              <w:t>，根据陕西省生态环境厅办公室发布的《202</w:t>
            </w:r>
            <w:r>
              <w:rPr>
                <w:rFonts w:hint="eastAsia"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年12月及1~12月全省环境空气质量状况》，202</w:t>
            </w:r>
            <w:r>
              <w:rPr>
                <w:rFonts w:hint="eastAsia" w:cs="Times New Roman"/>
                <w:color w:val="auto"/>
                <w:kern w:val="2"/>
                <w:sz w:val="24"/>
                <w:szCs w:val="24"/>
                <w:lang w:val="en-US" w:eastAsia="zh-CN" w:bidi="ar-SA"/>
              </w:rPr>
              <w:t>3</w:t>
            </w:r>
            <w:r>
              <w:rPr>
                <w:rFonts w:hint="default" w:ascii="Times New Roman" w:hAnsi="Times New Roman" w:eastAsia="宋体" w:cs="Times New Roman"/>
                <w:color w:val="auto"/>
                <w:kern w:val="2"/>
                <w:sz w:val="24"/>
                <w:szCs w:val="24"/>
                <w:lang w:val="en-US" w:eastAsia="zh-CN" w:bidi="ar-SA"/>
              </w:rPr>
              <w:t>年1~12月关中地区64个县（区）空气质量状况统计表中</w:t>
            </w:r>
            <w:r>
              <w:rPr>
                <w:rFonts w:hint="eastAsia" w:ascii="Times New Roman" w:hAnsi="Times New Roman" w:eastAsia="宋体" w:cs="Times New Roman"/>
                <w:color w:val="auto"/>
                <w:kern w:val="2"/>
                <w:sz w:val="24"/>
                <w:szCs w:val="24"/>
                <w:lang w:val="en-US" w:eastAsia="zh-CN" w:bidi="ar-SA"/>
              </w:rPr>
              <w:t>周至县</w:t>
            </w:r>
            <w:r>
              <w:rPr>
                <w:rFonts w:hint="default" w:ascii="Times New Roman" w:hAnsi="Times New Roman" w:eastAsia="宋体" w:cs="Times New Roman"/>
                <w:color w:val="auto"/>
                <w:kern w:val="2"/>
                <w:sz w:val="24"/>
                <w:szCs w:val="24"/>
                <w:lang w:val="en-US" w:eastAsia="zh-CN" w:bidi="ar-SA"/>
              </w:rPr>
              <w:t>统计数据，如下表</w:t>
            </w:r>
            <w:r>
              <w:rPr>
                <w:rFonts w:hint="eastAsia" w:cs="Times New Roman"/>
                <w:color w:val="auto"/>
                <w:kern w:val="2"/>
                <w:sz w:val="24"/>
                <w:szCs w:val="24"/>
                <w:lang w:val="en-US" w:eastAsia="zh-CN" w:bidi="ar-SA"/>
              </w:rPr>
              <w:t>7</w:t>
            </w:r>
            <w:r>
              <w:rPr>
                <w:rFonts w:hint="default" w:ascii="Times New Roman" w:hAnsi="Times New Roman" w:eastAsia="宋体" w:cs="Times New Roman"/>
                <w:color w:val="auto"/>
                <w:kern w:val="2"/>
                <w:sz w:val="24"/>
                <w:szCs w:val="24"/>
                <w:lang w:val="en-US" w:eastAsia="zh-CN" w:bidi="ar-SA"/>
              </w:rPr>
              <w:t>。</w:t>
            </w:r>
          </w:p>
          <w:p w14:paraId="2A2E9D31">
            <w:pPr>
              <w:keepNext w:val="0"/>
              <w:keepLines w:val="0"/>
              <w:pageBreakBefore w:val="0"/>
              <w:tabs>
                <w:tab w:val="left" w:pos="8607"/>
              </w:tabs>
              <w:kinsoku/>
              <w:wordWrap/>
              <w:overflowPunct/>
              <w:topLinePunct w:val="0"/>
              <w:autoSpaceDE/>
              <w:autoSpaceDN/>
              <w:bidi w:val="0"/>
              <w:adjustRightInd w:val="0"/>
              <w:snapToGrid w:val="0"/>
              <w:spacing w:line="360" w:lineRule="auto"/>
              <w:ind w:firstLine="480"/>
              <w:jc w:val="center"/>
              <w:rPr>
                <w:rFonts w:hint="default" w:ascii="Times New Roman" w:hAnsi="Times New Roman" w:eastAsia="宋体" w:cs="Times New Roman"/>
                <w:b/>
                <w:bCs/>
                <w:color w:val="auto"/>
                <w:kern w:val="2"/>
                <w:sz w:val="24"/>
                <w:szCs w:val="24"/>
                <w:lang w:val="en-US" w:eastAsia="zh-CN" w:bidi="ar-SA"/>
              </w:rPr>
            </w:pPr>
            <w:r>
              <w:rPr>
                <w:rFonts w:hint="default" w:ascii="Times New Roman" w:hAnsi="Times New Roman" w:eastAsia="宋体" w:cs="Times New Roman"/>
                <w:b/>
                <w:bCs/>
                <w:color w:val="auto"/>
                <w:kern w:val="2"/>
                <w:sz w:val="24"/>
                <w:szCs w:val="24"/>
                <w:lang w:val="en-US" w:eastAsia="zh-CN" w:bidi="ar-SA"/>
              </w:rPr>
              <w:t>表</w:t>
            </w:r>
            <w:r>
              <w:rPr>
                <w:rFonts w:hint="eastAsia" w:cs="Times New Roman"/>
                <w:b/>
                <w:bCs/>
                <w:color w:val="auto"/>
                <w:kern w:val="2"/>
                <w:sz w:val="24"/>
                <w:szCs w:val="24"/>
                <w:lang w:val="en-US" w:eastAsia="zh-CN" w:bidi="ar-SA"/>
              </w:rPr>
              <w:t xml:space="preserve">7   </w:t>
            </w:r>
            <w:r>
              <w:rPr>
                <w:rFonts w:hint="default" w:ascii="Times New Roman" w:hAnsi="Times New Roman" w:eastAsia="宋体" w:cs="Times New Roman"/>
                <w:b/>
                <w:bCs/>
                <w:color w:val="auto"/>
                <w:kern w:val="2"/>
                <w:sz w:val="24"/>
                <w:szCs w:val="24"/>
                <w:lang w:val="en-US" w:eastAsia="zh-CN" w:bidi="ar-SA"/>
              </w:rPr>
              <w:t>区域空气质量现状评价表</w:t>
            </w:r>
          </w:p>
          <w:tbl>
            <w:tblPr>
              <w:tblStyle w:val="18"/>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016"/>
              <w:gridCol w:w="821"/>
              <w:gridCol w:w="1129"/>
              <w:gridCol w:w="910"/>
              <w:gridCol w:w="974"/>
              <w:gridCol w:w="1237"/>
            </w:tblGrid>
            <w:tr w14:paraId="0F136C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0931108B">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污染物</w:t>
                  </w:r>
                </w:p>
              </w:tc>
              <w:tc>
                <w:tcPr>
                  <w:tcW w:w="1260" w:type="pct"/>
                  <w:noWrap w:val="0"/>
                  <w:vAlign w:val="center"/>
                </w:tcPr>
                <w:p w14:paraId="3B6A4524">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评价指标</w:t>
                  </w:r>
                </w:p>
              </w:tc>
              <w:tc>
                <w:tcPr>
                  <w:tcW w:w="513" w:type="pct"/>
                  <w:noWrap w:val="0"/>
                  <w:vAlign w:val="center"/>
                </w:tcPr>
                <w:p w14:paraId="767239F2">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单位</w:t>
                  </w:r>
                </w:p>
              </w:tc>
              <w:tc>
                <w:tcPr>
                  <w:tcW w:w="706" w:type="pct"/>
                  <w:noWrap w:val="0"/>
                  <w:vAlign w:val="center"/>
                </w:tcPr>
                <w:p w14:paraId="619EC73D">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现状浓度</w:t>
                  </w:r>
                </w:p>
              </w:tc>
              <w:tc>
                <w:tcPr>
                  <w:tcW w:w="569" w:type="pct"/>
                  <w:noWrap w:val="0"/>
                  <w:vAlign w:val="center"/>
                </w:tcPr>
                <w:p w14:paraId="4DA83448">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标准值</w:t>
                  </w:r>
                </w:p>
              </w:tc>
              <w:tc>
                <w:tcPr>
                  <w:tcW w:w="609" w:type="pct"/>
                  <w:noWrap w:val="0"/>
                  <w:vAlign w:val="center"/>
                </w:tcPr>
                <w:p w14:paraId="56B93EFA">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占标率</w:t>
                  </w:r>
                </w:p>
              </w:tc>
              <w:tc>
                <w:tcPr>
                  <w:tcW w:w="773" w:type="pct"/>
                  <w:noWrap w:val="0"/>
                  <w:vAlign w:val="center"/>
                </w:tcPr>
                <w:p w14:paraId="5CAB947F">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达标情况</w:t>
                  </w:r>
                </w:p>
              </w:tc>
            </w:tr>
            <w:tr w14:paraId="50A48A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5C0A337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PM10</w:t>
                  </w:r>
                </w:p>
              </w:tc>
              <w:tc>
                <w:tcPr>
                  <w:tcW w:w="1260" w:type="pct"/>
                  <w:noWrap w:val="0"/>
                  <w:vAlign w:val="center"/>
                </w:tcPr>
                <w:p w14:paraId="3CE6F76B">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年平均质量浓度</w:t>
                  </w:r>
                </w:p>
              </w:tc>
              <w:tc>
                <w:tcPr>
                  <w:tcW w:w="513" w:type="pct"/>
                  <w:noWrap w:val="0"/>
                  <w:vAlign w:val="center"/>
                </w:tcPr>
                <w:p w14:paraId="4BC8F125">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50ACD5AA">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83</w:t>
                  </w:r>
                </w:p>
              </w:tc>
              <w:tc>
                <w:tcPr>
                  <w:tcW w:w="569" w:type="pct"/>
                  <w:noWrap w:val="0"/>
                  <w:vAlign w:val="center"/>
                </w:tcPr>
                <w:p w14:paraId="7412B04B">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70</w:t>
                  </w:r>
                </w:p>
              </w:tc>
              <w:tc>
                <w:tcPr>
                  <w:tcW w:w="922" w:type="dxa"/>
                  <w:noWrap w:val="0"/>
                  <w:vAlign w:val="center"/>
                </w:tcPr>
                <w:p w14:paraId="13DC961D">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119</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325A17E1">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2116E1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33F8CD65">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PM2.5</w:t>
                  </w:r>
                </w:p>
              </w:tc>
              <w:tc>
                <w:tcPr>
                  <w:tcW w:w="1260" w:type="pct"/>
                  <w:noWrap w:val="0"/>
                  <w:vAlign w:val="center"/>
                </w:tcPr>
                <w:p w14:paraId="7128FD4D">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年平均质量浓度</w:t>
                  </w:r>
                </w:p>
              </w:tc>
              <w:tc>
                <w:tcPr>
                  <w:tcW w:w="513" w:type="pct"/>
                  <w:noWrap w:val="0"/>
                  <w:vAlign w:val="center"/>
                </w:tcPr>
                <w:p w14:paraId="6FFA7CC0">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201A5FAB">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42</w:t>
                  </w:r>
                </w:p>
              </w:tc>
              <w:tc>
                <w:tcPr>
                  <w:tcW w:w="569" w:type="pct"/>
                  <w:noWrap w:val="0"/>
                  <w:vAlign w:val="center"/>
                </w:tcPr>
                <w:p w14:paraId="581E4FE9">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35</w:t>
                  </w:r>
                </w:p>
              </w:tc>
              <w:tc>
                <w:tcPr>
                  <w:tcW w:w="922" w:type="dxa"/>
                  <w:noWrap w:val="0"/>
                  <w:vAlign w:val="center"/>
                </w:tcPr>
                <w:p w14:paraId="544E08E9">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120</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79469A10">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r w14:paraId="593227A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pct"/>
                  <w:noWrap w:val="0"/>
                  <w:vAlign w:val="center"/>
                </w:tcPr>
                <w:p w14:paraId="49D797C4">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SO2</w:t>
                  </w:r>
                </w:p>
              </w:tc>
              <w:tc>
                <w:tcPr>
                  <w:tcW w:w="1260" w:type="pct"/>
                  <w:noWrap w:val="0"/>
                  <w:vAlign w:val="center"/>
                </w:tcPr>
                <w:p w14:paraId="02B8647A">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年平均质量浓度</w:t>
                  </w:r>
                </w:p>
              </w:tc>
              <w:tc>
                <w:tcPr>
                  <w:tcW w:w="513" w:type="pct"/>
                  <w:noWrap w:val="0"/>
                  <w:vAlign w:val="center"/>
                </w:tcPr>
                <w:p w14:paraId="32B0DA96">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4F562EEA">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569" w:type="pct"/>
                  <w:noWrap w:val="0"/>
                  <w:vAlign w:val="center"/>
                </w:tcPr>
                <w:p w14:paraId="742060B7">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60</w:t>
                  </w:r>
                </w:p>
              </w:tc>
              <w:tc>
                <w:tcPr>
                  <w:tcW w:w="922" w:type="dxa"/>
                  <w:noWrap w:val="0"/>
                  <w:vAlign w:val="center"/>
                </w:tcPr>
                <w:p w14:paraId="0DFB7AC4">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07191539">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0FA594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287822BC">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NO2</w:t>
                  </w:r>
                </w:p>
              </w:tc>
              <w:tc>
                <w:tcPr>
                  <w:tcW w:w="1260" w:type="pct"/>
                  <w:noWrap w:val="0"/>
                  <w:vAlign w:val="center"/>
                </w:tcPr>
                <w:p w14:paraId="2D6BBF1D">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年平均质量浓度</w:t>
                  </w:r>
                </w:p>
              </w:tc>
              <w:tc>
                <w:tcPr>
                  <w:tcW w:w="513" w:type="pct"/>
                  <w:noWrap w:val="0"/>
                  <w:vAlign w:val="center"/>
                </w:tcPr>
                <w:p w14:paraId="4AEDD1FF">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46A9C1DB">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27</w:t>
                  </w:r>
                </w:p>
              </w:tc>
              <w:tc>
                <w:tcPr>
                  <w:tcW w:w="569" w:type="pct"/>
                  <w:noWrap w:val="0"/>
                  <w:vAlign w:val="center"/>
                </w:tcPr>
                <w:p w14:paraId="7D0F1F1C">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w:t>
                  </w:r>
                </w:p>
              </w:tc>
              <w:tc>
                <w:tcPr>
                  <w:tcW w:w="922" w:type="dxa"/>
                  <w:noWrap w:val="0"/>
                  <w:vAlign w:val="center"/>
                </w:tcPr>
                <w:p w14:paraId="6B2AEF08">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67.5</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48EA6511">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3D10E0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3BDAB852">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CO</w:t>
                  </w:r>
                </w:p>
              </w:tc>
              <w:tc>
                <w:tcPr>
                  <w:tcW w:w="1260" w:type="pct"/>
                  <w:noWrap w:val="0"/>
                  <w:vAlign w:val="center"/>
                </w:tcPr>
                <w:p w14:paraId="31BBDAFD">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24h平均第95百分位浓度</w:t>
                  </w:r>
                </w:p>
              </w:tc>
              <w:tc>
                <w:tcPr>
                  <w:tcW w:w="513" w:type="pct"/>
                  <w:noWrap w:val="0"/>
                  <w:vAlign w:val="center"/>
                </w:tcPr>
                <w:p w14:paraId="7AD62396">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78721060">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1600</w:t>
                  </w:r>
                </w:p>
              </w:tc>
              <w:tc>
                <w:tcPr>
                  <w:tcW w:w="569" w:type="pct"/>
                  <w:noWrap w:val="0"/>
                  <w:vAlign w:val="center"/>
                </w:tcPr>
                <w:p w14:paraId="32FDE380">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4000</w:t>
                  </w:r>
                </w:p>
              </w:tc>
              <w:tc>
                <w:tcPr>
                  <w:tcW w:w="922" w:type="dxa"/>
                  <w:noWrap w:val="0"/>
                  <w:vAlign w:val="center"/>
                </w:tcPr>
                <w:p w14:paraId="49790A65">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40</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0988F60B">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达标</w:t>
                  </w:r>
                </w:p>
              </w:tc>
            </w:tr>
            <w:tr w14:paraId="77A61B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67" w:type="pct"/>
                  <w:noWrap w:val="0"/>
                  <w:vAlign w:val="center"/>
                </w:tcPr>
                <w:p w14:paraId="6001B829">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O3</w:t>
                  </w:r>
                </w:p>
              </w:tc>
              <w:tc>
                <w:tcPr>
                  <w:tcW w:w="1260" w:type="pct"/>
                  <w:noWrap w:val="0"/>
                  <w:vAlign w:val="center"/>
                </w:tcPr>
                <w:p w14:paraId="5D845A63">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日最大8小时平均第90百分位浓度</w:t>
                  </w:r>
                </w:p>
              </w:tc>
              <w:tc>
                <w:tcPr>
                  <w:tcW w:w="513" w:type="pct"/>
                  <w:noWrap w:val="0"/>
                  <w:vAlign w:val="center"/>
                </w:tcPr>
                <w:p w14:paraId="4D643D4F">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μg/m3</w:t>
                  </w:r>
                </w:p>
              </w:tc>
              <w:tc>
                <w:tcPr>
                  <w:tcW w:w="706" w:type="pct"/>
                  <w:noWrap w:val="0"/>
                  <w:vAlign w:val="center"/>
                </w:tcPr>
                <w:p w14:paraId="33084546">
                  <w:pPr>
                    <w:keepNext w:val="0"/>
                    <w:keepLines w:val="0"/>
                    <w:pageBreakBefore w:val="0"/>
                    <w:kinsoku/>
                    <w:wordWrap/>
                    <w:overflowPunct/>
                    <w:topLinePunct w:val="0"/>
                    <w:autoSpaceDE/>
                    <w:autoSpaceDN/>
                    <w:bidi w:val="0"/>
                    <w:adjustRightInd w:val="0"/>
                    <w:snapToGrid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170</w:t>
                  </w:r>
                </w:p>
              </w:tc>
              <w:tc>
                <w:tcPr>
                  <w:tcW w:w="569" w:type="pct"/>
                  <w:noWrap w:val="0"/>
                  <w:vAlign w:val="center"/>
                </w:tcPr>
                <w:p w14:paraId="184BD569">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160</w:t>
                  </w:r>
                </w:p>
              </w:tc>
              <w:tc>
                <w:tcPr>
                  <w:tcW w:w="922" w:type="dxa"/>
                  <w:noWrap w:val="0"/>
                  <w:vAlign w:val="center"/>
                </w:tcPr>
                <w:p w14:paraId="5089E099">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106</w:t>
                  </w:r>
                  <w:r>
                    <w:rPr>
                      <w:rFonts w:hint="default" w:ascii="Times New Roman" w:hAnsi="Times New Roman" w:eastAsia="宋体" w:cs="Times New Roman"/>
                      <w:color w:val="auto"/>
                      <w:kern w:val="2"/>
                      <w:sz w:val="21"/>
                      <w:szCs w:val="21"/>
                      <w:lang w:val="en-US" w:eastAsia="zh-CN" w:bidi="ar-SA"/>
                    </w:rPr>
                    <w:t>%</w:t>
                  </w:r>
                </w:p>
              </w:tc>
              <w:tc>
                <w:tcPr>
                  <w:tcW w:w="773" w:type="pct"/>
                  <w:noWrap w:val="0"/>
                  <w:vAlign w:val="center"/>
                </w:tcPr>
                <w:p w14:paraId="682AB33B">
                  <w:pPr>
                    <w:keepNext w:val="0"/>
                    <w:keepLines w:val="0"/>
                    <w:pageBreakBefore w:val="0"/>
                    <w:widowControl/>
                    <w:kinsoku/>
                    <w:wordWrap/>
                    <w:overflowPunct/>
                    <w:topLinePunct w:val="0"/>
                    <w:autoSpaceDE/>
                    <w:autoSpaceDN/>
                    <w:bidi w:val="0"/>
                    <w:spacing w:line="360" w:lineRule="auto"/>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超标</w:t>
                  </w:r>
                </w:p>
              </w:tc>
            </w:tr>
          </w:tbl>
          <w:p w14:paraId="7C2B7FBE">
            <w:pPr>
              <w:keepNext w:val="0"/>
              <w:keepLines w:val="0"/>
              <w:pageBreakBefore w:val="0"/>
              <w:tabs>
                <w:tab w:val="left" w:pos="8607"/>
              </w:tabs>
              <w:kinsoku/>
              <w:wordWrap/>
              <w:overflowPunct/>
              <w:topLinePunct w:val="0"/>
              <w:autoSpaceDE/>
              <w:autoSpaceDN/>
              <w:bidi w:val="0"/>
              <w:adjustRightInd w:val="0"/>
              <w:snapToGrid w:val="0"/>
              <w:spacing w:line="360" w:lineRule="auto"/>
              <w:ind w:firstLine="48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根据以上监测结果可知，</w:t>
            </w:r>
            <w:r>
              <w:rPr>
                <w:rFonts w:hint="eastAsia" w:cs="Times New Roman"/>
                <w:color w:val="auto"/>
                <w:kern w:val="2"/>
                <w:sz w:val="24"/>
                <w:szCs w:val="24"/>
                <w:lang w:val="en-US" w:eastAsia="zh-CN" w:bidi="ar-SA"/>
              </w:rPr>
              <w:t>周至县</w:t>
            </w:r>
            <w:r>
              <w:rPr>
                <w:rFonts w:hint="default" w:ascii="Times New Roman" w:hAnsi="Times New Roman" w:eastAsia="宋体" w:cs="Times New Roman"/>
                <w:color w:val="auto"/>
                <w:kern w:val="2"/>
                <w:sz w:val="24"/>
                <w:szCs w:val="24"/>
                <w:lang w:val="en-US" w:eastAsia="zh-CN" w:bidi="ar-SA"/>
              </w:rPr>
              <w:t>SO2、NO2的年平均质量浓度值、CO的24小时平均第95百分位浓度值均达到《环境空气质量标准》（GB3095-2012）及其修改单（公告2018年第29号）中二级标准限值要求；PM10、PM2.5的年平均质量浓度值和O3的日最大8小时平均第90百分位均超过《环境空气质量标准》（GB3095-2012）及其修改单（公告2018年第29号）中二级标准限值要求，故项目所在区域属于环境空气质量不达标区。</w:t>
            </w:r>
          </w:p>
          <w:p w14:paraId="11E73978">
            <w:pPr>
              <w:keepNext w:val="0"/>
              <w:keepLines w:val="0"/>
              <w:pageBreakBefore w:val="0"/>
              <w:kinsoku/>
              <w:wordWrap/>
              <w:overflowPunct/>
              <w:topLinePunct w:val="0"/>
              <w:autoSpaceDE/>
              <w:autoSpaceDN/>
              <w:bidi w:val="0"/>
              <w:adjustRightInd w:val="0"/>
              <w:snapToGrid w:val="0"/>
              <w:spacing w:line="360" w:lineRule="auto"/>
              <w:ind w:firstLine="482"/>
              <w:jc w:val="left"/>
              <w:rPr>
                <w:rFonts w:hint="default" w:ascii="Times New Roman" w:hAnsi="Times New Roman" w:cs="Times New Roman"/>
                <w:b/>
                <w:color w:val="auto"/>
                <w:kern w:val="0"/>
              </w:rPr>
            </w:pPr>
            <w:r>
              <w:rPr>
                <w:rFonts w:hint="default" w:ascii="Times New Roman" w:hAnsi="Times New Roman" w:cs="Times New Roman"/>
                <w:b/>
                <w:color w:val="auto"/>
                <w:kern w:val="0"/>
              </w:rPr>
              <w:t>2、地表水环境质量现状</w:t>
            </w:r>
          </w:p>
          <w:p w14:paraId="5A5A1128">
            <w:pPr>
              <w:pStyle w:val="37"/>
              <w:keepNext w:val="0"/>
              <w:keepLines w:val="0"/>
              <w:pageBreakBefore w:val="0"/>
              <w:kinsoku/>
              <w:wordWrap/>
              <w:overflowPunct/>
              <w:topLinePunct w:val="0"/>
              <w:autoSpaceDE/>
              <w:autoSpaceDN/>
              <w:bidi w:val="0"/>
              <w:spacing w:line="360" w:lineRule="auto"/>
              <w:ind w:firstLine="480"/>
              <w:rPr>
                <w:rFonts w:hint="eastAsia" w:eastAsia="宋体"/>
                <w:color w:val="auto"/>
              </w:rPr>
            </w:pPr>
            <w:r>
              <w:rPr>
                <w:rFonts w:hint="eastAsia"/>
                <w:color w:val="auto"/>
              </w:rPr>
              <w:t>根据202</w:t>
            </w:r>
            <w:r>
              <w:rPr>
                <w:rFonts w:hint="eastAsia"/>
                <w:color w:val="auto"/>
                <w:lang w:val="en-US" w:eastAsia="zh-CN"/>
              </w:rPr>
              <w:t>4</w:t>
            </w:r>
            <w:r>
              <w:rPr>
                <w:rFonts w:hint="eastAsia"/>
                <w:color w:val="auto"/>
              </w:rPr>
              <w:t>年1月</w:t>
            </w:r>
            <w:r>
              <w:rPr>
                <w:rFonts w:hint="eastAsia"/>
                <w:color w:val="auto"/>
                <w:lang w:val="en-US" w:eastAsia="zh-CN"/>
              </w:rPr>
              <w:t>26</w:t>
            </w:r>
            <w:r>
              <w:rPr>
                <w:rFonts w:hint="eastAsia"/>
                <w:color w:val="auto"/>
              </w:rPr>
              <w:t>日西安市生态环境局发布的《西安市202</w:t>
            </w:r>
            <w:r>
              <w:rPr>
                <w:rFonts w:hint="eastAsia"/>
                <w:color w:val="auto"/>
                <w:lang w:val="en-US" w:eastAsia="zh-CN"/>
              </w:rPr>
              <w:t>3</w:t>
            </w:r>
            <w:r>
              <w:rPr>
                <w:rFonts w:hint="eastAsia"/>
                <w:color w:val="auto"/>
              </w:rPr>
              <w:t>年度环境质量状况》，项目</w:t>
            </w:r>
            <w:r>
              <w:rPr>
                <w:rFonts w:ascii="宋体" w:hAnsi="宋体" w:eastAsia="宋体" w:cs="宋体"/>
                <w:color w:val="auto"/>
                <w:sz w:val="24"/>
                <w:szCs w:val="24"/>
              </w:rPr>
              <w:t>西安市引湑济黑调水工程饮用水水源地</w:t>
            </w:r>
            <w:r>
              <w:rPr>
                <w:rFonts w:hint="eastAsia" w:ascii="宋体" w:hAnsi="宋体" w:eastAsia="宋体" w:cs="宋体"/>
                <w:color w:val="auto"/>
                <w:sz w:val="24"/>
                <w:szCs w:val="24"/>
                <w:lang w:val="en-US" w:eastAsia="zh-CN"/>
              </w:rPr>
              <w:t>是</w:t>
            </w:r>
            <w:r>
              <w:rPr>
                <w:rFonts w:ascii="宋体" w:hAnsi="宋体" w:eastAsia="宋体" w:cs="宋体"/>
                <w:color w:val="auto"/>
                <w:sz w:val="24"/>
                <w:szCs w:val="24"/>
              </w:rPr>
              <w:t>西安市市级城镇集中式生活</w:t>
            </w:r>
            <w:r>
              <w:rPr>
                <w:rFonts w:hint="eastAsia" w:eastAsia="宋体"/>
                <w:color w:val="auto"/>
              </w:rPr>
              <w:t>饮用水水源地</w:t>
            </w:r>
            <w:r>
              <w:rPr>
                <w:rFonts w:hint="eastAsia" w:eastAsia="宋体"/>
                <w:color w:val="auto"/>
                <w:lang w:eastAsia="zh-CN"/>
              </w:rPr>
              <w:t>，</w:t>
            </w:r>
            <w:r>
              <w:rPr>
                <w:rFonts w:hint="eastAsia" w:eastAsia="宋体"/>
                <w:color w:val="auto"/>
                <w:lang w:val="en-US" w:eastAsia="zh-CN"/>
              </w:rPr>
              <w:t>水质情况</w:t>
            </w:r>
            <w:r>
              <w:rPr>
                <w:rFonts w:hint="eastAsia" w:eastAsia="宋体"/>
                <w:color w:val="auto"/>
              </w:rPr>
              <w:t>达到或优于《地表水环境质量标准》（GB 3838-2002）Ⅲ类标准或对应的标准限值</w:t>
            </w:r>
            <w:r>
              <w:rPr>
                <w:rFonts w:hint="eastAsia" w:eastAsia="宋体"/>
                <w:color w:val="auto"/>
                <w:lang w:eastAsia="zh-CN"/>
              </w:rPr>
              <w:t>，</w:t>
            </w:r>
            <w:r>
              <w:rPr>
                <w:rFonts w:hint="eastAsia" w:eastAsia="宋体"/>
                <w:color w:val="auto"/>
              </w:rPr>
              <w:t>因此，本项目区域水环境质量较好。</w:t>
            </w:r>
          </w:p>
          <w:p w14:paraId="08572969">
            <w:pPr>
              <w:pStyle w:val="37"/>
              <w:keepNext w:val="0"/>
              <w:keepLines w:val="0"/>
              <w:pageBreakBefore w:val="0"/>
              <w:kinsoku/>
              <w:wordWrap/>
              <w:overflowPunct/>
              <w:topLinePunct w:val="0"/>
              <w:autoSpaceDE/>
              <w:autoSpaceDN/>
              <w:bidi w:val="0"/>
              <w:spacing w:line="360" w:lineRule="auto"/>
              <w:ind w:firstLine="480"/>
              <w:rPr>
                <w:rFonts w:hint="default" w:ascii="Times New Roman" w:hAnsi="Times New Roman" w:eastAsia="宋体" w:cs="Times New Roman"/>
                <w:b/>
                <w:color w:val="auto"/>
                <w:kern w:val="0"/>
                <w:sz w:val="24"/>
                <w:szCs w:val="24"/>
                <w:lang w:val="en-US" w:eastAsia="zh-CN" w:bidi="ar-SA"/>
              </w:rPr>
            </w:pPr>
            <w:r>
              <w:rPr>
                <w:rFonts w:hint="default" w:ascii="Times New Roman" w:hAnsi="Times New Roman" w:eastAsia="宋体" w:cs="Times New Roman"/>
                <w:b/>
                <w:color w:val="auto"/>
                <w:kern w:val="0"/>
                <w:sz w:val="24"/>
                <w:szCs w:val="24"/>
                <w:lang w:val="en-US" w:eastAsia="zh-CN" w:bidi="ar-SA"/>
              </w:rPr>
              <w:t>3、声环境质量现状</w:t>
            </w:r>
          </w:p>
          <w:p w14:paraId="6B18DBC2">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根据现场调查情况，项目周边5</w:t>
            </w:r>
            <w:r>
              <w:rPr>
                <w:color w:val="auto"/>
              </w:rPr>
              <w:t>0m</w:t>
            </w:r>
            <w:r>
              <w:rPr>
                <w:rFonts w:hint="eastAsia"/>
                <w:color w:val="auto"/>
              </w:rPr>
              <w:t>范围内不存在声环境保护目标，根据《建设项目环境影响报告表编制技术指南（污染影响类）（试行）》的相关规定，本项目不开展声环境质量现状调查。</w:t>
            </w:r>
          </w:p>
          <w:p w14:paraId="20737204">
            <w:pPr>
              <w:pStyle w:val="37"/>
              <w:keepNext w:val="0"/>
              <w:keepLines w:val="0"/>
              <w:pageBreakBefore w:val="0"/>
              <w:kinsoku/>
              <w:wordWrap/>
              <w:overflowPunct/>
              <w:topLinePunct w:val="0"/>
              <w:autoSpaceDE/>
              <w:autoSpaceDN/>
              <w:bidi w:val="0"/>
              <w:spacing w:line="360" w:lineRule="auto"/>
              <w:ind w:left="0" w:leftChars="0" w:firstLine="482" w:firstLineChars="200"/>
              <w:jc w:val="left"/>
              <w:rPr>
                <w:b/>
                <w:bCs/>
                <w:color w:val="auto"/>
              </w:rPr>
            </w:pPr>
            <w:r>
              <w:rPr>
                <w:rFonts w:hint="eastAsia"/>
                <w:b/>
                <w:bCs/>
                <w:color w:val="auto"/>
                <w:lang w:val="en-US" w:eastAsia="zh-CN"/>
              </w:rPr>
              <w:t>4</w:t>
            </w:r>
            <w:r>
              <w:rPr>
                <w:rFonts w:hint="eastAsia"/>
                <w:b/>
                <w:bCs/>
                <w:color w:val="auto"/>
              </w:rPr>
              <w:t>、生态环境质量现状</w:t>
            </w:r>
          </w:p>
          <w:p w14:paraId="2DB4D239">
            <w:pPr>
              <w:pStyle w:val="37"/>
              <w:keepNext w:val="0"/>
              <w:keepLines w:val="0"/>
              <w:pageBreakBefore w:val="0"/>
              <w:kinsoku/>
              <w:wordWrap/>
              <w:overflowPunct/>
              <w:topLinePunct w:val="0"/>
              <w:autoSpaceDE/>
              <w:autoSpaceDN/>
              <w:bidi w:val="0"/>
              <w:spacing w:line="360" w:lineRule="auto"/>
              <w:ind w:firstLine="480"/>
              <w:jc w:val="left"/>
              <w:rPr>
                <w:color w:val="auto"/>
              </w:rPr>
            </w:pPr>
            <w:r>
              <w:rPr>
                <w:rFonts w:hint="eastAsia"/>
                <w:color w:val="auto"/>
              </w:rPr>
              <w:t>（1）流域概况</w:t>
            </w:r>
          </w:p>
          <w:p w14:paraId="644E9913">
            <w:pPr>
              <w:keepNext w:val="0"/>
              <w:keepLines w:val="0"/>
              <w:pageBreakBefore w:val="0"/>
              <w:widowControl/>
              <w:suppressLineNumbers w:val="0"/>
              <w:kinsoku/>
              <w:wordWrap/>
              <w:overflowPunct/>
              <w:topLinePunct w:val="0"/>
              <w:autoSpaceDE/>
              <w:autoSpaceDN/>
              <w:bidi w:val="0"/>
              <w:spacing w:line="360" w:lineRule="auto"/>
              <w:ind w:firstLine="480" w:firstLineChars="200"/>
              <w:jc w:val="left"/>
              <w:rPr>
                <w:rFonts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kern w:val="2"/>
                <w:sz w:val="24"/>
                <w:szCs w:val="24"/>
                <w:lang w:val="en-US" w:eastAsia="zh-CN" w:bidi="ar-SA"/>
              </w:rPr>
              <w:t>湑水河（又名湑河、湑水），古称左谷水、壻水。大致自北向南，流</w:t>
            </w:r>
          </w:p>
          <w:p w14:paraId="446C4536">
            <w:pPr>
              <w:keepNext w:val="0"/>
              <w:keepLines w:val="0"/>
              <w:pageBreakBefore w:val="0"/>
              <w:widowControl/>
              <w:suppressLineNumbers w:val="0"/>
              <w:kinsoku/>
              <w:wordWrap/>
              <w:overflowPunct/>
              <w:topLinePunct w:val="0"/>
              <w:autoSpaceDE/>
              <w:autoSpaceDN/>
              <w:bidi w:val="0"/>
              <w:spacing w:line="360" w:lineRule="auto"/>
              <w:jc w:val="left"/>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经周至县、太白县、洋县、城固县，汇入汉江。湑水河河源位置为西安市</w:t>
            </w:r>
          </w:p>
          <w:p w14:paraId="73BA8D35">
            <w:pPr>
              <w:keepNext w:val="0"/>
              <w:keepLines w:val="0"/>
              <w:pageBreakBefore w:val="0"/>
              <w:widowControl/>
              <w:suppressLineNumbers w:val="0"/>
              <w:kinsoku/>
              <w:wordWrap/>
              <w:overflowPunct/>
              <w:topLinePunct w:val="0"/>
              <w:autoSpaceDE/>
              <w:autoSpaceDN/>
              <w:bidi w:val="0"/>
              <w:spacing w:line="360" w:lineRule="auto"/>
              <w:jc w:val="left"/>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周至县厚畛子镇周至老县城自然保护区，河口位置为汉中市洋县磨子桥镇</w:t>
            </w:r>
          </w:p>
          <w:p w14:paraId="110A1688">
            <w:pPr>
              <w:keepNext w:val="0"/>
              <w:keepLines w:val="0"/>
              <w:pageBreakBefore w:val="0"/>
              <w:widowControl/>
              <w:suppressLineNumbers w:val="0"/>
              <w:kinsoku/>
              <w:wordWrap/>
              <w:overflowPunct/>
              <w:topLinePunct w:val="0"/>
              <w:autoSpaceDE/>
              <w:autoSpaceDN/>
              <w:bidi w:val="0"/>
              <w:spacing w:line="360" w:lineRule="auto"/>
              <w:jc w:val="left"/>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一心村，隶属长江流域，河道全长168km，平均比降12.6‰，流域面积</w:t>
            </w:r>
          </w:p>
          <w:p w14:paraId="595E9A19">
            <w:pPr>
              <w:keepNext w:val="0"/>
              <w:keepLines w:val="0"/>
              <w:pageBreakBefore w:val="0"/>
              <w:widowControl/>
              <w:suppressLineNumbers w:val="0"/>
              <w:kinsoku/>
              <w:wordWrap/>
              <w:overflowPunct/>
              <w:topLinePunct w:val="0"/>
              <w:autoSpaceDE/>
              <w:autoSpaceDN/>
              <w:bidi w:val="0"/>
              <w:spacing w:line="360" w:lineRule="auto"/>
              <w:jc w:val="left"/>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2324km2。湑水河在汉中市升仙村段设有一处水文站，即升仙村水文站，是</w:t>
            </w:r>
          </w:p>
          <w:p w14:paraId="3A978197">
            <w:pPr>
              <w:keepNext w:val="0"/>
              <w:keepLines w:val="0"/>
              <w:pageBreakBefore w:val="0"/>
              <w:widowControl/>
              <w:suppressLineNumbers w:val="0"/>
              <w:kinsoku/>
              <w:wordWrap/>
              <w:overflowPunct/>
              <w:topLinePunct w:val="0"/>
              <w:autoSpaceDE/>
              <w:autoSpaceDN/>
              <w:bidi w:val="0"/>
              <w:spacing w:line="360" w:lineRule="auto"/>
              <w:jc w:val="left"/>
              <w:rPr>
                <w:rFonts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湑水河干流上一个控制站，属于国家基本站点，省级重要站。</w:t>
            </w:r>
          </w:p>
          <w:p w14:paraId="474A18D9">
            <w:pPr>
              <w:keepNext w:val="0"/>
              <w:keepLines w:val="0"/>
              <w:pageBreakBefore w:val="0"/>
              <w:widowControl/>
              <w:suppressLineNumbers w:val="0"/>
              <w:kinsoku/>
              <w:wordWrap/>
              <w:overflowPunct/>
              <w:topLinePunct w:val="0"/>
              <w:autoSpaceDE/>
              <w:autoSpaceDN/>
              <w:bidi w:val="0"/>
              <w:spacing w:line="360" w:lineRule="auto"/>
              <w:ind w:firstLine="480" w:firstLineChars="200"/>
              <w:jc w:val="left"/>
              <w:rPr>
                <w:color w:val="auto"/>
              </w:rPr>
            </w:pPr>
            <w:r>
              <w:rPr>
                <w:rFonts w:hint="default" w:ascii="Times New Roman" w:hAnsi="Times New Roman" w:eastAsia="宋体" w:cs="Times New Roman"/>
                <w:color w:val="auto"/>
                <w:kern w:val="2"/>
                <w:sz w:val="24"/>
                <w:szCs w:val="24"/>
                <w:lang w:val="en-US" w:eastAsia="zh-CN" w:bidi="ar-SA"/>
              </w:rPr>
              <w:t>湑水河在周至县境内全长21km，流域面积137km2，主河道比降19‰，年平均径流量为7941万m³，平均流量为2.5m³/s。湑水河流经周至县厚畛子镇老县城村后，流入宝鸡市太白县。湑水河宝鸡市太白县境内河段干流长41.1km，流域面积882.28km2，平均比降16.2‰，于青龙寨附近流入太白县，由黄柏塬又折向西南，在黑峡子下游1.5km处流出太白县。</w:t>
            </w:r>
          </w:p>
          <w:p w14:paraId="164BDC00">
            <w:pPr>
              <w:pStyle w:val="37"/>
              <w:keepNext w:val="0"/>
              <w:keepLines w:val="0"/>
              <w:pageBreakBefore w:val="0"/>
              <w:kinsoku/>
              <w:wordWrap/>
              <w:overflowPunct/>
              <w:topLinePunct w:val="0"/>
              <w:autoSpaceDE/>
              <w:autoSpaceDN/>
              <w:bidi w:val="0"/>
              <w:spacing w:line="360" w:lineRule="auto"/>
              <w:ind w:firstLine="480"/>
              <w:rPr>
                <w:color w:val="auto"/>
              </w:rPr>
            </w:pPr>
            <w:r>
              <w:rPr>
                <w:color w:val="auto"/>
              </w:rPr>
              <w:t>（2）土壤类型</w:t>
            </w:r>
          </w:p>
          <w:p w14:paraId="45674B9B">
            <w:pPr>
              <w:pStyle w:val="37"/>
              <w:keepNext w:val="0"/>
              <w:keepLines w:val="0"/>
              <w:pageBreakBefore w:val="0"/>
              <w:kinsoku/>
              <w:wordWrap/>
              <w:overflowPunct/>
              <w:topLinePunct w:val="0"/>
              <w:autoSpaceDE/>
              <w:autoSpaceDN/>
              <w:bidi w:val="0"/>
              <w:spacing w:line="360" w:lineRule="auto"/>
              <w:ind w:firstLine="480"/>
              <w:rPr>
                <w:color w:val="auto"/>
              </w:rPr>
            </w:pPr>
            <w:r>
              <w:rPr>
                <w:color w:val="auto"/>
              </w:rPr>
              <w:t>陕西省土壤类型多样，计有21个土类，149个土属，400多个土种。主要土类有娄土、褐土、黑垆土、黄绵土、棕壤、黄棕壤、黄褐土、栗钙土、风沙土、水稻土、潮土、盐碱土等，土壤水平分布的地带性十分明显，自北而南依</w:t>
            </w:r>
            <w:r>
              <w:rPr>
                <w:rFonts w:hint="eastAsia"/>
                <w:color w:val="auto"/>
                <w:lang w:eastAsia="zh-CN"/>
              </w:rPr>
              <w:t>次</w:t>
            </w:r>
            <w:r>
              <w:rPr>
                <w:color w:val="auto"/>
              </w:rPr>
              <w:t>为长城沿线风沙土、淡栗钙土带</w:t>
            </w:r>
            <w:r>
              <w:rPr>
                <w:rFonts w:hint="eastAsia"/>
                <w:color w:val="auto"/>
              </w:rPr>
              <w:t>、</w:t>
            </w:r>
            <w:r>
              <w:rPr>
                <w:color w:val="auto"/>
              </w:rPr>
              <w:t>黄土高原黑垆土带</w:t>
            </w:r>
            <w:r>
              <w:rPr>
                <w:rFonts w:hint="eastAsia"/>
                <w:color w:val="auto"/>
              </w:rPr>
              <w:t>、</w:t>
            </w:r>
            <w:r>
              <w:rPr>
                <w:color w:val="auto"/>
              </w:rPr>
              <w:t>关中盆地褐土带</w:t>
            </w:r>
            <w:r>
              <w:rPr>
                <w:rFonts w:hint="eastAsia"/>
                <w:color w:val="auto"/>
              </w:rPr>
              <w:t>、</w:t>
            </w:r>
            <w:r>
              <w:rPr>
                <w:color w:val="auto"/>
              </w:rPr>
              <w:t>秦巴山地黄棕壤、黄褐土带。周至县属于古老农业区，土壤结构复杂多样，土壤分为潮土、水稻土、淤土、黄土、塿土、褐土、山地石渣土壤及山地草甸土等类型。全县土壤普查结果为9类土壤，24个亚类，44个土属。周至地区土壤肥力总的趋势是氮较缺乏，磷极缺，钾不缺。腐殖土肥力及通透性均好。</w:t>
            </w:r>
          </w:p>
          <w:p w14:paraId="3C13E723">
            <w:pPr>
              <w:pStyle w:val="37"/>
              <w:keepNext w:val="0"/>
              <w:keepLines w:val="0"/>
              <w:pageBreakBefore w:val="0"/>
              <w:kinsoku/>
              <w:wordWrap/>
              <w:overflowPunct/>
              <w:topLinePunct w:val="0"/>
              <w:autoSpaceDE/>
              <w:autoSpaceDN/>
              <w:bidi w:val="0"/>
              <w:spacing w:line="360" w:lineRule="auto"/>
              <w:ind w:firstLine="480"/>
              <w:rPr>
                <w:color w:val="auto"/>
              </w:rPr>
            </w:pPr>
            <w:r>
              <w:rPr>
                <w:color w:val="auto"/>
              </w:rPr>
              <w:t>（3）植被类型</w:t>
            </w:r>
          </w:p>
          <w:p w14:paraId="641C9083">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ascii="宋体" w:hAnsi="宋体"/>
                <w:color w:val="auto"/>
              </w:rPr>
              <w:t>①</w:t>
            </w:r>
            <w:r>
              <w:rPr>
                <w:rFonts w:hint="eastAsia"/>
                <w:color w:val="auto"/>
              </w:rPr>
              <w:t>周至县植被类型</w:t>
            </w:r>
          </w:p>
          <w:p w14:paraId="3C86B049">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周至县林区地跨秦岭南北，南属北亚热带常绿落叶阔叶混交林带，北属暖温带落叶阔叶林带。根据《陕西植被》（雷明德等，1999年），评价区属于夏绿阔叶林区域—温带草原化森林地带—黑河流域黄土丘陵及残塬地区。该植被小区地处草原化森林地带北缘，从植物种类组成上看，虽有一些构成夏绿阔叶林的树种存在，但在这种较为寒冷干旱的生境条件下，不仅种类贫乏，而且很少成林，且成林林相很差，星散分布的树种，也多生长不良。分布于本区内的乔木群落除侧柏、油松、柳树外，尚有一些辽东栎和山杨群落，此外还有一些山杏、杜梨、苹果等组成的。占据较大地域的植被类型是草原，此外还有灌丛或稀树灌丛草原，本项目区地处小区中西部，梁脊茆顶构成草原群落的建群种主要有地椒、冷蒿、长茅草、大针茅、达乌里胡枝子等，在各群落中以伴生种形式出现的植物有铁杆蒿、中国委陵菜、椒蒿、薄雪草、隐子草、细叶鸢尾、雅葱、狼牙刺等。较为常见的草本植物还有铁杆蒿、莳萝蒿、异叶败酱、芦苇、白头翁、狗尾草、茜草、黄花草木樨、苦豆子、野菊、野亚麻、牛皮消、茵陈、大针茅、紫花苜蓿、艾草、狗尾草、大狼把草、牛筋草、泥胡菜、地肤草、苦苣菜、小蓬草等。此外，偶可见到甘遂、石刁柏、野葱、蛇葡萄、列当等。</w:t>
            </w:r>
          </w:p>
          <w:p w14:paraId="590B5212">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ascii="宋体" w:hAnsi="宋体"/>
                <w:color w:val="auto"/>
              </w:rPr>
              <w:t>②</w:t>
            </w:r>
            <w:r>
              <w:rPr>
                <w:rFonts w:hint="eastAsia"/>
                <w:color w:val="auto"/>
              </w:rPr>
              <w:t>项目区域植被类型</w:t>
            </w:r>
          </w:p>
          <w:p w14:paraId="22CA2AA8">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经现场调查，本项目河段主要为栽培植被和各类灌草丛为主的自然植被，在</w:t>
            </w:r>
            <w:r>
              <w:rPr>
                <w:rFonts w:ascii="Times New Roman" w:hAnsi="Times New Roman" w:eastAsia="宋体" w:cs="Times New Roman"/>
                <w:color w:val="auto"/>
                <w:kern w:val="2"/>
                <w:sz w:val="24"/>
                <w:szCs w:val="24"/>
                <w:lang w:val="en-US" w:eastAsia="zh-CN" w:bidi="ar-SA"/>
              </w:rPr>
              <w:t>湑水</w:t>
            </w:r>
            <w:r>
              <w:rPr>
                <w:rFonts w:hint="eastAsia"/>
                <w:color w:val="auto"/>
              </w:rPr>
              <w:t>河漫滩荒地内自然植被以芦苇、狼牙刺、茵陈蒿、狗尾草、紫花苜蓿、大狼把草、牛筋草、泥胡菜、苦苣菜、小蓬草等为主。周边黄土梁峁植被类型主要以酸枣等灌丛和白羊草、山韭等灌草丛为主以及农业植被玉米和小麦、苗圃等为主。评价区域未发现</w:t>
            </w:r>
            <w:r>
              <w:rPr>
                <w:rFonts w:hint="eastAsia"/>
                <w:color w:val="auto"/>
                <w:lang w:eastAsia="zh-CN"/>
              </w:rPr>
              <w:t>珍稀濒危</w:t>
            </w:r>
            <w:r>
              <w:rPr>
                <w:rFonts w:hint="eastAsia"/>
                <w:color w:val="auto"/>
              </w:rPr>
              <w:t>野生植物分布，未发现古树名木分布。</w:t>
            </w:r>
          </w:p>
          <w:p w14:paraId="1C70050C">
            <w:pPr>
              <w:pStyle w:val="37"/>
              <w:keepNext w:val="0"/>
              <w:keepLines w:val="0"/>
              <w:pageBreakBefore w:val="0"/>
              <w:kinsoku/>
              <w:wordWrap/>
              <w:overflowPunct/>
              <w:topLinePunct w:val="0"/>
              <w:autoSpaceDE/>
              <w:autoSpaceDN/>
              <w:bidi w:val="0"/>
              <w:spacing w:line="360" w:lineRule="auto"/>
              <w:ind w:firstLine="480"/>
              <w:rPr>
                <w:color w:val="auto"/>
              </w:rPr>
            </w:pPr>
            <w:r>
              <w:rPr>
                <w:color w:val="auto"/>
              </w:rPr>
              <w:t>（4）</w:t>
            </w:r>
            <w:r>
              <w:rPr>
                <w:rFonts w:hint="eastAsia"/>
                <w:color w:val="auto"/>
              </w:rPr>
              <w:t>水生生物和陆生动物</w:t>
            </w:r>
          </w:p>
          <w:p w14:paraId="31B523EB">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ascii="宋体" w:hAnsi="宋体"/>
                <w:color w:val="auto"/>
              </w:rPr>
              <w:t>①周至县水生生物和陆生动物</w:t>
            </w:r>
          </w:p>
          <w:p w14:paraId="1DE77257">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周至县自然鱼类有4目7科21种，有经济价值的鱼类有：鲤、鲫、细鳞鲑、鲶、黄鳝等。经济水生动物有：鳖、虾、蚌、螺、蛙等。珍稀鱼类及水生动物有：大鲵（娃娃鱼），秦岭细鳞鲑等。养殖鱼类有：青、草、鲢、鳝、鲂、鲤鱼种。放养鱼种有草鱼、青鱼、花鲢、白鲢、鲂、鲤鱼等。还有鳖、虾、鳝、蚌、螺、蟹等种。浮游动物4大类（原生动物、枝角类、轮虫、桡足类）60属种。</w:t>
            </w:r>
          </w:p>
          <w:p w14:paraId="13861510">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周至县林区为野生动物栖息繁殖提供了良好的生活环境，林中动物270余种。其中兽类有黑熊、金钱豹、青羊、黄羊、鹿、麝、狐狸、野猪、獾等达40余种；鸟类有锦鸡、环颈雉、白脸山雀、斑啄木鸟、松花鸡、长尾兰鹊、黄鹊、</w:t>
            </w:r>
            <w:r>
              <w:rPr>
                <w:rFonts w:hint="eastAsia"/>
                <w:color w:val="auto"/>
                <w:lang w:eastAsia="zh-CN"/>
              </w:rPr>
              <w:t>麻雀</w:t>
            </w:r>
            <w:r>
              <w:rPr>
                <w:rFonts w:hint="eastAsia"/>
                <w:color w:val="auto"/>
              </w:rPr>
              <w:t>、喜鹊等230余种。珍贵动物有国家一类保护动物大熊猫、金丝猴、金毛扭角羚等，二类保护动物大鲵、金钱豹、斑羚、小熊猫、锦鸡等，三类保护动物林麝、豹猫等。</w:t>
            </w:r>
          </w:p>
          <w:p w14:paraId="7C7135DB">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ascii="宋体" w:hAnsi="宋体"/>
                <w:color w:val="auto"/>
              </w:rPr>
              <w:t>②</w:t>
            </w:r>
            <w:r>
              <w:rPr>
                <w:rFonts w:hint="eastAsia"/>
                <w:color w:val="auto"/>
              </w:rPr>
              <w:t>项目区域水生生物和陆生动物</w:t>
            </w:r>
          </w:p>
          <w:p w14:paraId="5208D35C">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本项目</w:t>
            </w:r>
            <w:r>
              <w:rPr>
                <w:rFonts w:hint="eastAsia"/>
                <w:color w:val="auto"/>
                <w:lang w:val="en-US" w:eastAsia="zh-CN"/>
              </w:rPr>
              <w:t>老县城</w:t>
            </w:r>
            <w:r>
              <w:rPr>
                <w:rFonts w:hint="eastAsia"/>
                <w:color w:val="auto"/>
              </w:rPr>
              <w:t>区域沿线居民较多，该区域陆生动物仅有少量小动物和鸟类出没，无被列入国家和地方珍稀濒危保护类陆生动物分布。</w:t>
            </w:r>
          </w:p>
          <w:p w14:paraId="75BD45D3">
            <w:pPr>
              <w:pStyle w:val="37"/>
              <w:keepNext w:val="0"/>
              <w:keepLines w:val="0"/>
              <w:pageBreakBefore w:val="0"/>
              <w:kinsoku/>
              <w:wordWrap/>
              <w:overflowPunct/>
              <w:topLinePunct w:val="0"/>
              <w:autoSpaceDE/>
              <w:autoSpaceDN/>
              <w:bidi w:val="0"/>
              <w:spacing w:line="360" w:lineRule="auto"/>
              <w:ind w:firstLine="480"/>
              <w:rPr>
                <w:color w:val="auto"/>
              </w:rPr>
            </w:pPr>
            <w:r>
              <w:rPr>
                <w:rFonts w:hint="eastAsia"/>
                <w:color w:val="auto"/>
              </w:rPr>
              <w:t>项目区域内水生生物受人为干扰较为明显，经调查河道内未发现国家级和省级保护鱼类。河道内鱼类为一般常见种，包括鲫鱼、鲤鱼、鲢鱼、草鱼、泥鳅等。浮游植物包括硅藻、蓝藻、绿藻和裸藻，包括尖针杆藻、近缘针杆藻、大螺旋藻、小颤藻、小球藻和小箍藻等；轮虫动物主要以萼花臂尾轮虫、角突臂尾轮虫和蒲达臂尾轮虫为主。</w:t>
            </w:r>
          </w:p>
          <w:p w14:paraId="3A3B3C04">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（5）生态敏感区</w:t>
            </w:r>
          </w:p>
          <w:p w14:paraId="0BF2F1B9">
            <w:pPr>
              <w:pStyle w:val="37"/>
              <w:keepNext w:val="0"/>
              <w:keepLines w:val="0"/>
              <w:pageBreakBefore w:val="0"/>
              <w:kinsoku/>
              <w:wordWrap/>
              <w:overflowPunct/>
              <w:topLinePunct w:val="0"/>
              <w:autoSpaceDE/>
              <w:autoSpaceDN/>
              <w:bidi w:val="0"/>
              <w:spacing w:line="360" w:lineRule="auto"/>
              <w:ind w:firstLine="480"/>
              <w:rPr>
                <w:rFonts w:hint="eastAsia"/>
                <w:color w:val="auto"/>
                <w:lang w:val="en-US" w:eastAsia="zh-CN"/>
              </w:rPr>
            </w:pPr>
            <w:r>
              <w:rPr>
                <w:rFonts w:hint="eastAsia"/>
                <w:color w:val="auto"/>
                <w:lang w:val="en-US" w:eastAsia="zh-CN"/>
              </w:rPr>
              <w:t>1.陕西周至老县城国家级自然保护区</w:t>
            </w:r>
          </w:p>
          <w:p w14:paraId="7D911646">
            <w:pPr>
              <w:pStyle w:val="37"/>
              <w:keepNext w:val="0"/>
              <w:keepLines w:val="0"/>
              <w:pageBreakBefore w:val="0"/>
              <w:kinsoku/>
              <w:wordWrap/>
              <w:overflowPunct/>
              <w:topLinePunct w:val="0"/>
              <w:autoSpaceDE/>
              <w:autoSpaceDN/>
              <w:bidi w:val="0"/>
              <w:spacing w:line="360" w:lineRule="auto"/>
              <w:ind w:firstLine="480"/>
              <w:rPr>
                <w:rFonts w:hint="eastAsia"/>
                <w:color w:val="auto"/>
                <w:lang w:val="en-US" w:eastAsia="zh-CN"/>
              </w:rPr>
            </w:pPr>
            <w:r>
              <w:rPr>
                <w:rFonts w:hint="eastAsia"/>
                <w:color w:val="auto"/>
                <w:lang w:val="en-US" w:eastAsia="zh-CN"/>
              </w:rPr>
              <w:t>陕西周至国家级自然保护区是以保护金丝猴及其栖息地为主的森林和野生动物类型的国家级自然保护区，是秦岭保护区群的重要成员。其总体目标是：保护以金丝猴为主的野生动物及其栖息环境、保护生物多样性和生态系统的完整性、保护黑河水资源涵养地和自然景观。</w:t>
            </w:r>
          </w:p>
          <w:p w14:paraId="64902EB9">
            <w:pPr>
              <w:pStyle w:val="37"/>
              <w:keepNext w:val="0"/>
              <w:keepLines w:val="0"/>
              <w:pageBreakBefore w:val="0"/>
              <w:kinsoku/>
              <w:wordWrap/>
              <w:overflowPunct/>
              <w:topLinePunct w:val="0"/>
              <w:autoSpaceDE/>
              <w:autoSpaceDN/>
              <w:bidi w:val="0"/>
              <w:spacing w:line="360" w:lineRule="auto"/>
              <w:ind w:firstLine="480"/>
              <w:rPr>
                <w:rFonts w:hint="eastAsia"/>
                <w:color w:val="auto"/>
                <w:lang w:val="en-US" w:eastAsia="zh-CN"/>
              </w:rPr>
            </w:pPr>
            <w:r>
              <w:rPr>
                <w:rFonts w:hint="eastAsia"/>
                <w:color w:val="auto"/>
                <w:lang w:val="en-US" w:eastAsia="zh-CN"/>
              </w:rPr>
              <w:t>保护区于1986年筹建，1988年国务院以国发〔1988〕30号文件批准为国家级保护区。</w:t>
            </w:r>
          </w:p>
          <w:p w14:paraId="32BE1870">
            <w:pPr>
              <w:pStyle w:val="37"/>
              <w:keepNext w:val="0"/>
              <w:keepLines w:val="0"/>
              <w:pageBreakBefore w:val="0"/>
              <w:kinsoku/>
              <w:wordWrap/>
              <w:overflowPunct/>
              <w:topLinePunct w:val="0"/>
              <w:autoSpaceDE/>
              <w:autoSpaceDN/>
              <w:bidi w:val="0"/>
              <w:spacing w:line="360" w:lineRule="auto"/>
              <w:ind w:firstLine="480"/>
              <w:rPr>
                <w:rFonts w:hint="eastAsia"/>
                <w:color w:val="auto"/>
                <w:lang w:val="en-US" w:eastAsia="zh-CN"/>
              </w:rPr>
            </w:pPr>
            <w:r>
              <w:rPr>
                <w:rFonts w:hint="eastAsia"/>
                <w:color w:val="auto"/>
                <w:lang w:val="en-US" w:eastAsia="zh-CN"/>
              </w:rPr>
              <w:t>保护区位于陕西秦岭中段北坡周至县境内，距西安100千米，东与小王涧林场为邻，西与老县城保护区接壤，南以秦岭主脊与天华山、娘娘山、观音山、佛坪自然保护区为界，北界与厚畛子、小王涧林场相连。地理坐标介于东经107°45′33～108°18′53″，北纬33°42′45″～33°54′00″之间。南北宽约15千米，东西横延约55千米，总面积56393公顷。保护区划分为核心区、缓冲区、实验区三个功能区，其中核心区面积23778公顷，缓冲区面积9746公顷，实验区面积22869公顷。保护区水资源丰富，区内的黑河是最大的河流，主流全长125.8千米，流经保护区的长度约占黑河全长的47.7%，为黑河的主要集水区域，总计汇水面积563.93平方千米，是西安市城市用水极为重要的水源涵养地。</w:t>
            </w:r>
          </w:p>
          <w:p w14:paraId="0C68B13B">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lang w:val="en-US" w:eastAsia="zh-CN"/>
              </w:rPr>
              <w:t>保护区内生物多样性丰富。植被属暖温带落叶阔叶林和针阔混交林带，具有3个植被型组、7个植被型、10个植被亚型、23个群系组、共53个群丛；区内植被良好，森林茂密，活立木总蓄积549万立方米，森林覆盖率达到96.0%。植物资源组成区系复杂，种子植物122科、515属、1074种；其中国家珍稀濒危重点保护植物21种；野生脊椎动物资源较为丰富，已知物种5纲25目、72科、182属、271种。其中兽类74种，鸟类164种，爬行类20种，两栖类8种，鱼类5种，其中一级保护动物6种（金丝猴、大熊猫、羚牛、豹、云豹、林麝），二级保护动物23种，特别是我国特有物种金丝猴分布集中，共11群1170只；周至保护区是大熊猫分布的最北界，数量有20只左右。同时，区内已知昆虫24目、197科、914种。其中国家二级保护昆虫2种，陕西省重点保护昆虫2种。</w:t>
            </w:r>
          </w:p>
          <w:p w14:paraId="395D8AF5">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本项目为防洪治理工程，位于</w:t>
            </w:r>
            <w:r>
              <w:rPr>
                <w:rFonts w:hint="eastAsia"/>
                <w:color w:val="auto"/>
                <w:lang w:val="en-US" w:eastAsia="zh-CN"/>
              </w:rPr>
              <w:t>陕西周至老县城省级自然保护区</w:t>
            </w:r>
            <w:r>
              <w:rPr>
                <w:rFonts w:hint="eastAsia"/>
                <w:color w:val="auto"/>
              </w:rPr>
              <w:t>内。为预防施工期间河道上游降雨水位上涨，在主流靠岸段施工时，会提前布置导流围堰，因此，本项目施工期不会对保护区功能造成损害。本项目的实施，可改善局部河段的水土流失，改善水环境现状，且项目运行期无污染，不存在环境限制性因素。项目与</w:t>
            </w:r>
            <w:r>
              <w:rPr>
                <w:rFonts w:hint="eastAsia"/>
                <w:color w:val="auto"/>
                <w:lang w:val="en-US" w:eastAsia="zh-CN"/>
              </w:rPr>
              <w:t>陕西周至老县城省级自然保护区</w:t>
            </w:r>
            <w:r>
              <w:rPr>
                <w:rFonts w:hint="eastAsia"/>
                <w:color w:val="auto"/>
              </w:rPr>
              <w:t>位置关系见附图。</w:t>
            </w:r>
          </w:p>
          <w:p w14:paraId="3220F246">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②陕西黑河珍稀水生野生动物国家级自然保护区</w:t>
            </w:r>
          </w:p>
          <w:p w14:paraId="4830721C">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陕西黑河珍稀水生野生动物国家级自然保护区总面积4618.58hm2，其中核心区面积1408.44hm2，缓冲区面积1462.87hm2，实验区面积1747.27hm2。保护区位于陕西省西安市周至县境内，范围在东经107°45′15″~108°21′45″，北纬33°18′46″~34°03′59″之间。本项目位于</w:t>
            </w:r>
            <w:r>
              <w:rPr>
                <w:rFonts w:hint="eastAsia"/>
                <w:color w:val="auto"/>
                <w:lang w:val="en-US" w:eastAsia="zh-CN"/>
              </w:rPr>
              <w:t>湑水河老县城村段</w:t>
            </w:r>
            <w:r>
              <w:rPr>
                <w:rFonts w:hint="eastAsia"/>
                <w:color w:val="auto"/>
              </w:rPr>
              <w:t>，不在陕西黑河珍稀水生野生动物国家级自然保护区范围内，距离保护区最近距离约</w:t>
            </w:r>
            <w:r>
              <w:rPr>
                <w:rFonts w:hint="eastAsia"/>
                <w:color w:val="auto"/>
                <w:lang w:val="en-US" w:eastAsia="zh-CN"/>
              </w:rPr>
              <w:t>1.5</w:t>
            </w:r>
            <w:r>
              <w:rPr>
                <w:rFonts w:hint="eastAsia"/>
                <w:color w:val="auto"/>
              </w:rPr>
              <w:t>km，项目所在地与保护区位置关系见附图。</w:t>
            </w:r>
          </w:p>
          <w:p w14:paraId="7739D7AA">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④西安市引湑济黑调水工程饮用水水源地</w:t>
            </w:r>
          </w:p>
          <w:p w14:paraId="0E587F96">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西安市引湑济黑调水工程饮用水水源地位于周至县厚畛子镇秦岭山区渭水河上游，距离周至老县城约4.5km，南起滑水河支流吊沟</w:t>
            </w:r>
            <w:r>
              <w:rPr>
                <w:rFonts w:hint="eastAsia"/>
                <w:color w:val="auto"/>
                <w:lang w:eastAsia="zh-CN"/>
              </w:rPr>
              <w:t>（</w:t>
            </w:r>
            <w:r>
              <w:rPr>
                <w:rFonts w:hint="eastAsia"/>
                <w:color w:val="auto"/>
              </w:rPr>
              <w:t>沟口下游200m)，北至黑河上游支沟。一级保护区水域范围为正常水位下，取水口上游洛阳沟支流交汇处，总长度约1650m，下游至工程征地边界线，总长度50m，包括范围内全部河道水域，总长度1700m。陆域范围为距离一级保护区水域河流，左岸为1700m等高线以下至水域边界范围内的全部陆地，右岸为现有道路右侧隔离网</w:t>
            </w:r>
            <w:r>
              <w:rPr>
                <w:rFonts w:hint="eastAsia"/>
                <w:color w:val="auto"/>
                <w:lang w:eastAsia="zh-CN"/>
              </w:rPr>
              <w:t>（</w:t>
            </w:r>
            <w:r>
              <w:rPr>
                <w:rFonts w:hint="eastAsia"/>
                <w:color w:val="auto"/>
              </w:rPr>
              <w:t>无隔离网段为1700m等高线以下</w:t>
            </w:r>
            <w:r>
              <w:rPr>
                <w:rFonts w:hint="eastAsia"/>
                <w:color w:val="auto"/>
                <w:lang w:eastAsia="zh-CN"/>
              </w:rPr>
              <w:t>）</w:t>
            </w:r>
            <w:r>
              <w:rPr>
                <w:rFonts w:hint="eastAsia"/>
                <w:color w:val="auto"/>
              </w:rPr>
              <w:t>至水域边界范围内的全部陆域</w:t>
            </w:r>
            <w:r>
              <w:rPr>
                <w:rFonts w:hint="eastAsia"/>
                <w:color w:val="auto"/>
                <w:lang w:eastAsia="zh-CN"/>
              </w:rPr>
              <w:t>。</w:t>
            </w:r>
            <w:r>
              <w:rPr>
                <w:rFonts w:hint="eastAsia"/>
                <w:color w:val="auto"/>
              </w:rPr>
              <w:t>二级保护区水域为一级保护区的上游边界向上游</w:t>
            </w:r>
            <w:r>
              <w:rPr>
                <w:rFonts w:hint="eastAsia"/>
                <w:color w:val="auto"/>
                <w:lang w:eastAsia="zh-CN"/>
              </w:rPr>
              <w:t>（</w:t>
            </w:r>
            <w:r>
              <w:rPr>
                <w:rFonts w:hint="eastAsia"/>
                <w:color w:val="auto"/>
              </w:rPr>
              <w:t>包括汇入的上游支流</w:t>
            </w:r>
            <w:r>
              <w:rPr>
                <w:rFonts w:hint="eastAsia"/>
                <w:color w:val="auto"/>
                <w:lang w:eastAsia="zh-CN"/>
              </w:rPr>
              <w:t>）</w:t>
            </w:r>
            <w:r>
              <w:rPr>
                <w:rFonts w:hint="eastAsia"/>
                <w:color w:val="auto"/>
              </w:rPr>
              <w:t>延伸2000m、下游侧外边界距级保护区边界200m范围内的全部河道水域。陆域范围为沿岸长度不小于二级保护区水域河长，距离河岸纵深1000m范围内的全部陆地</w:t>
            </w:r>
            <w:r>
              <w:rPr>
                <w:rFonts w:hint="eastAsia"/>
                <w:color w:val="auto"/>
                <w:lang w:eastAsia="zh-CN"/>
              </w:rPr>
              <w:t>；</w:t>
            </w:r>
            <w:r>
              <w:rPr>
                <w:rFonts w:hint="eastAsia"/>
                <w:color w:val="auto"/>
              </w:rPr>
              <w:t>结合地形，局部边界以1900m、2000n、2100m、2200m等高线汇水坡面边界、鞍部中心线为准。</w:t>
            </w:r>
          </w:p>
          <w:p w14:paraId="533299EB">
            <w:pPr>
              <w:pStyle w:val="37"/>
              <w:keepNext w:val="0"/>
              <w:keepLines w:val="0"/>
              <w:pageBreakBefore w:val="0"/>
              <w:kinsoku/>
              <w:wordWrap/>
              <w:overflowPunct/>
              <w:topLinePunct w:val="0"/>
              <w:autoSpaceDE/>
              <w:autoSpaceDN/>
              <w:bidi w:val="0"/>
              <w:spacing w:line="360" w:lineRule="auto"/>
              <w:ind w:firstLine="480"/>
              <w:rPr>
                <w:rFonts w:hint="eastAsia"/>
                <w:color w:val="auto"/>
              </w:rPr>
            </w:pPr>
            <w:r>
              <w:rPr>
                <w:rFonts w:hint="eastAsia"/>
                <w:color w:val="auto"/>
              </w:rPr>
              <w:t>总面积1088.87hm，其中，水域保护面积6.73h，陆域保护面积1082.14hm</w:t>
            </w:r>
            <w:r>
              <w:rPr>
                <w:rFonts w:hint="eastAsia"/>
                <w:color w:val="auto"/>
                <w:lang w:val="en-US" w:eastAsia="zh-CN"/>
              </w:rPr>
              <w:t>2</w:t>
            </w:r>
            <w:r>
              <w:rPr>
                <w:rFonts w:hint="eastAsia"/>
                <w:color w:val="auto"/>
              </w:rPr>
              <w:t>。本项目位于湑</w:t>
            </w:r>
            <w:r>
              <w:rPr>
                <w:rFonts w:hint="eastAsia"/>
                <w:color w:val="auto"/>
                <w:lang w:val="en-US" w:eastAsia="zh-CN"/>
              </w:rPr>
              <w:t>水河老县城村段</w:t>
            </w:r>
            <w:r>
              <w:rPr>
                <w:rFonts w:hint="eastAsia"/>
                <w:color w:val="auto"/>
              </w:rPr>
              <w:t>，</w:t>
            </w:r>
            <w:r>
              <w:rPr>
                <w:rFonts w:hint="eastAsia"/>
                <w:color w:val="auto"/>
                <w:lang w:val="en-US" w:eastAsia="zh-CN"/>
              </w:rPr>
              <w:t>位于</w:t>
            </w:r>
            <w:r>
              <w:rPr>
                <w:rFonts w:hint="eastAsia"/>
                <w:color w:val="auto"/>
              </w:rPr>
              <w:t>水源地保护区范围内，</w:t>
            </w:r>
            <w:r>
              <w:rPr>
                <w:rFonts w:hint="eastAsia"/>
                <w:color w:val="auto"/>
                <w:lang w:val="en-US" w:eastAsia="zh-CN"/>
              </w:rPr>
              <w:t>项目施工期废水均合理处置，</w:t>
            </w:r>
            <w:r>
              <w:rPr>
                <w:rFonts w:hint="eastAsia"/>
                <w:color w:val="auto"/>
              </w:rPr>
              <w:t>对保护区功能</w:t>
            </w:r>
            <w:r>
              <w:rPr>
                <w:rFonts w:hint="eastAsia"/>
                <w:color w:val="auto"/>
                <w:lang w:val="en-US" w:eastAsia="zh-CN"/>
              </w:rPr>
              <w:t>没有</w:t>
            </w:r>
            <w:r>
              <w:rPr>
                <w:rFonts w:hint="eastAsia"/>
                <w:color w:val="auto"/>
              </w:rPr>
              <w:t>造成损害</w:t>
            </w:r>
            <w:r>
              <w:rPr>
                <w:rFonts w:hint="eastAsia"/>
                <w:color w:val="auto"/>
                <w:lang w:val="en-US" w:eastAsia="zh-CN"/>
              </w:rPr>
              <w:t>，</w:t>
            </w:r>
            <w:r>
              <w:rPr>
                <w:rFonts w:hint="eastAsia"/>
                <w:color w:val="auto"/>
              </w:rPr>
              <w:t>且项目运行期无污染，不存在环境限制性因素。</w:t>
            </w:r>
          </w:p>
          <w:p w14:paraId="19764A39">
            <w:pPr>
              <w:pStyle w:val="37"/>
              <w:keepNext w:val="0"/>
              <w:keepLines w:val="0"/>
              <w:pageBreakBefore w:val="0"/>
              <w:kinsoku/>
              <w:wordWrap/>
              <w:overflowPunct/>
              <w:topLinePunct w:val="0"/>
              <w:autoSpaceDE/>
              <w:autoSpaceDN/>
              <w:bidi w:val="0"/>
              <w:spacing w:line="360" w:lineRule="auto"/>
              <w:ind w:firstLine="482"/>
              <w:rPr>
                <w:b/>
                <w:bCs/>
                <w:color w:val="auto"/>
              </w:rPr>
            </w:pPr>
            <w:r>
              <w:rPr>
                <w:rFonts w:hint="eastAsia"/>
                <w:b/>
                <w:bCs/>
                <w:color w:val="auto"/>
              </w:rPr>
              <w:t>2、</w:t>
            </w:r>
            <w:r>
              <w:rPr>
                <w:b/>
                <w:bCs/>
                <w:color w:val="auto"/>
              </w:rPr>
              <w:t>主体功能区划</w:t>
            </w:r>
            <w:r>
              <w:rPr>
                <w:rFonts w:hint="eastAsia"/>
                <w:b/>
                <w:bCs/>
                <w:color w:val="auto"/>
              </w:rPr>
              <w:t>和</w:t>
            </w:r>
            <w:r>
              <w:rPr>
                <w:b/>
                <w:bCs/>
                <w:color w:val="auto"/>
              </w:rPr>
              <w:t>生态功能区划</w:t>
            </w:r>
          </w:p>
          <w:p w14:paraId="437CD19B">
            <w:pPr>
              <w:pStyle w:val="37"/>
              <w:ind w:firstLine="480"/>
              <w:rPr>
                <w:color w:val="auto"/>
              </w:rPr>
            </w:pPr>
            <w:r>
              <w:rPr>
                <w:rFonts w:hint="eastAsia"/>
                <w:color w:val="auto"/>
              </w:rPr>
              <w:t>（1）主体功能区划</w:t>
            </w:r>
          </w:p>
          <w:p w14:paraId="3EBCDEFD">
            <w:pPr>
              <w:pStyle w:val="37"/>
              <w:ind w:firstLine="480"/>
              <w:rPr>
                <w:color w:val="auto"/>
              </w:rPr>
            </w:pPr>
            <w:r>
              <w:rPr>
                <w:color w:val="auto"/>
              </w:rPr>
              <w:t>根据《陕西省主体功能区规划》</w:t>
            </w:r>
            <w:r>
              <w:rPr>
                <w:rFonts w:hint="eastAsia"/>
                <w:color w:val="auto"/>
              </w:rPr>
              <w:t>（陕政发〔2013〕15号）</w:t>
            </w:r>
            <w:r>
              <w:rPr>
                <w:color w:val="auto"/>
              </w:rPr>
              <w:t>，本项目位于陕西省周至县</w:t>
            </w:r>
            <w:r>
              <w:rPr>
                <w:rFonts w:hint="eastAsia"/>
                <w:color w:val="auto"/>
                <w:lang w:val="en-US" w:eastAsia="zh-CN"/>
              </w:rPr>
              <w:t>老县城村</w:t>
            </w:r>
            <w:r>
              <w:rPr>
                <w:color w:val="auto"/>
              </w:rPr>
              <w:t>，属于国家层面限制开发区域（重点生态功能区）</w:t>
            </w:r>
            <w:r>
              <w:rPr>
                <w:rFonts w:hint="eastAsia" w:ascii="黑体" w:hAnsi="黑体" w:eastAsia="黑体"/>
                <w:color w:val="auto"/>
              </w:rPr>
              <w:t>——</w:t>
            </w:r>
            <w:r>
              <w:rPr>
                <w:rFonts w:hint="eastAsia"/>
                <w:color w:val="auto"/>
              </w:rPr>
              <w:t>秦巴生物多样性生态功能区</w:t>
            </w:r>
            <w:r>
              <w:rPr>
                <w:color w:val="auto"/>
              </w:rPr>
              <w:t>。</w:t>
            </w:r>
            <w:r>
              <w:rPr>
                <w:rFonts w:hint="eastAsia"/>
                <w:color w:val="auto"/>
              </w:rPr>
              <w:t>其主体功能及保护和发展方向见表</w:t>
            </w:r>
            <w:r>
              <w:rPr>
                <w:rFonts w:hint="eastAsia"/>
                <w:color w:val="auto"/>
                <w:lang w:val="en-US" w:eastAsia="zh-CN"/>
              </w:rPr>
              <w:t>8</w:t>
            </w:r>
            <w:r>
              <w:rPr>
                <w:rFonts w:hint="eastAsia"/>
                <w:color w:val="auto"/>
              </w:rPr>
              <w:t>。</w:t>
            </w:r>
          </w:p>
          <w:p w14:paraId="1400CED5">
            <w:pPr>
              <w:pStyle w:val="35"/>
              <w:rPr>
                <w:color w:val="auto"/>
              </w:rPr>
            </w:pPr>
            <w:r>
              <w:rPr>
                <w:rFonts w:hint="eastAsia"/>
                <w:color w:val="auto"/>
              </w:rPr>
              <w:t>表</w:t>
            </w:r>
            <w:r>
              <w:rPr>
                <w:rFonts w:hint="eastAsia"/>
                <w:color w:val="auto"/>
                <w:lang w:val="en-US" w:eastAsia="zh-CN"/>
              </w:rPr>
              <w:t xml:space="preserve">8   </w:t>
            </w:r>
            <w:r>
              <w:rPr>
                <w:rFonts w:hint="eastAsia"/>
                <w:color w:val="auto"/>
              </w:rPr>
              <w:t>项目所在地主体功能区划</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76"/>
              <w:gridCol w:w="1359"/>
              <w:gridCol w:w="1701"/>
              <w:gridCol w:w="2718"/>
            </w:tblGrid>
            <w:tr w14:paraId="285E005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46" w:type="dxa"/>
                  <w:vAlign w:val="center"/>
                </w:tcPr>
                <w:p w14:paraId="3A85C597">
                  <w:pPr>
                    <w:pStyle w:val="28"/>
                    <w:rPr>
                      <w:b/>
                      <w:bCs/>
                      <w:color w:val="auto"/>
                    </w:rPr>
                  </w:pPr>
                  <w:r>
                    <w:rPr>
                      <w:rFonts w:hint="eastAsia"/>
                      <w:b/>
                      <w:bCs/>
                      <w:color w:val="auto"/>
                    </w:rPr>
                    <w:t>地区</w:t>
                  </w:r>
                </w:p>
              </w:tc>
              <w:tc>
                <w:tcPr>
                  <w:tcW w:w="1476" w:type="dxa"/>
                  <w:vAlign w:val="center"/>
                </w:tcPr>
                <w:p w14:paraId="3E0440B0">
                  <w:pPr>
                    <w:pStyle w:val="28"/>
                    <w:rPr>
                      <w:b/>
                      <w:bCs/>
                      <w:color w:val="auto"/>
                    </w:rPr>
                  </w:pPr>
                  <w:r>
                    <w:rPr>
                      <w:rFonts w:hint="eastAsia"/>
                      <w:b/>
                      <w:bCs/>
                      <w:color w:val="auto"/>
                    </w:rPr>
                    <w:t>所处区域</w:t>
                  </w:r>
                </w:p>
              </w:tc>
              <w:tc>
                <w:tcPr>
                  <w:tcW w:w="1359" w:type="dxa"/>
                </w:tcPr>
                <w:p w14:paraId="378C6E90">
                  <w:pPr>
                    <w:pStyle w:val="28"/>
                    <w:rPr>
                      <w:b/>
                      <w:bCs/>
                      <w:color w:val="auto"/>
                    </w:rPr>
                  </w:pPr>
                  <w:r>
                    <w:rPr>
                      <w:rFonts w:hint="eastAsia"/>
                      <w:b/>
                      <w:bCs/>
                      <w:color w:val="auto"/>
                    </w:rPr>
                    <w:t>类型</w:t>
                  </w:r>
                </w:p>
              </w:tc>
              <w:tc>
                <w:tcPr>
                  <w:tcW w:w="1701" w:type="dxa"/>
                  <w:vAlign w:val="center"/>
                </w:tcPr>
                <w:p w14:paraId="3214A542">
                  <w:pPr>
                    <w:pStyle w:val="28"/>
                    <w:rPr>
                      <w:b/>
                      <w:bCs/>
                      <w:color w:val="auto"/>
                    </w:rPr>
                  </w:pPr>
                  <w:r>
                    <w:rPr>
                      <w:rFonts w:hint="eastAsia"/>
                      <w:b/>
                      <w:bCs/>
                      <w:color w:val="auto"/>
                    </w:rPr>
                    <w:t>主体功能</w:t>
                  </w:r>
                </w:p>
              </w:tc>
              <w:tc>
                <w:tcPr>
                  <w:tcW w:w="2718" w:type="dxa"/>
                  <w:vAlign w:val="center"/>
                </w:tcPr>
                <w:p w14:paraId="5C3A1D10">
                  <w:pPr>
                    <w:pStyle w:val="28"/>
                    <w:rPr>
                      <w:b/>
                      <w:bCs/>
                      <w:color w:val="auto"/>
                    </w:rPr>
                  </w:pPr>
                  <w:r>
                    <w:rPr>
                      <w:rFonts w:hint="eastAsia"/>
                      <w:b/>
                      <w:bCs/>
                      <w:color w:val="auto"/>
                    </w:rPr>
                    <w:t>保护和发展方向</w:t>
                  </w:r>
                </w:p>
              </w:tc>
            </w:tr>
            <w:tr w14:paraId="319A643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746" w:type="dxa"/>
                  <w:vAlign w:val="center"/>
                </w:tcPr>
                <w:p w14:paraId="45A22B09">
                  <w:pPr>
                    <w:pStyle w:val="28"/>
                    <w:rPr>
                      <w:color w:val="auto"/>
                    </w:rPr>
                  </w:pPr>
                  <w:r>
                    <w:rPr>
                      <w:rFonts w:hint="eastAsia"/>
                      <w:color w:val="auto"/>
                    </w:rPr>
                    <w:t>周至县</w:t>
                  </w:r>
                </w:p>
              </w:tc>
              <w:tc>
                <w:tcPr>
                  <w:tcW w:w="1476" w:type="dxa"/>
                  <w:vAlign w:val="center"/>
                </w:tcPr>
                <w:p w14:paraId="127E7480">
                  <w:pPr>
                    <w:pStyle w:val="28"/>
                    <w:rPr>
                      <w:color w:val="auto"/>
                    </w:rPr>
                  </w:pPr>
                  <w:r>
                    <w:rPr>
                      <w:rFonts w:hint="eastAsia"/>
                      <w:color w:val="auto"/>
                    </w:rPr>
                    <w:t>国家层面限制开发区域（重点生态功能区）</w:t>
                  </w:r>
                </w:p>
              </w:tc>
              <w:tc>
                <w:tcPr>
                  <w:tcW w:w="1359" w:type="dxa"/>
                  <w:vAlign w:val="center"/>
                </w:tcPr>
                <w:p w14:paraId="2B18ADA6">
                  <w:pPr>
                    <w:pStyle w:val="28"/>
                    <w:rPr>
                      <w:rFonts w:hint="eastAsia"/>
                      <w:color w:val="auto"/>
                    </w:rPr>
                  </w:pPr>
                  <w:r>
                    <w:rPr>
                      <w:rFonts w:hint="eastAsia"/>
                      <w:color w:val="auto"/>
                    </w:rPr>
                    <w:t>秦巴生物多样性生态功能区</w:t>
                  </w:r>
                </w:p>
              </w:tc>
              <w:tc>
                <w:tcPr>
                  <w:tcW w:w="1701" w:type="dxa"/>
                  <w:vAlign w:val="center"/>
                </w:tcPr>
                <w:p w14:paraId="3FC3752A">
                  <w:pPr>
                    <w:pStyle w:val="28"/>
                    <w:rPr>
                      <w:rFonts w:hint="eastAsia"/>
                      <w:color w:val="auto"/>
                    </w:rPr>
                  </w:pPr>
                  <w:r>
                    <w:rPr>
                      <w:rFonts w:hint="eastAsia"/>
                      <w:color w:val="auto"/>
                    </w:rPr>
                    <w:t>维护生物多样性、水源涵养、水土保持，提供生态产品。</w:t>
                  </w:r>
                </w:p>
              </w:tc>
              <w:tc>
                <w:tcPr>
                  <w:tcW w:w="2718" w:type="dxa"/>
                  <w:vAlign w:val="center"/>
                </w:tcPr>
                <w:p w14:paraId="0668EFDF">
                  <w:pPr>
                    <w:pStyle w:val="28"/>
                    <w:rPr>
                      <w:rFonts w:hint="eastAsia"/>
                      <w:color w:val="auto"/>
                    </w:rPr>
                  </w:pPr>
                  <w:r>
                    <w:rPr>
                      <w:rFonts w:hint="eastAsia"/>
                      <w:color w:val="auto"/>
                    </w:rPr>
                    <w:t>加强退耕还林、封山育林、天然林保护、湿地保护、长防林建设，开展小流域治理，防止水土流失，促进植被恢复，维护生态系统。</w:t>
                  </w:r>
                </w:p>
              </w:tc>
            </w:tr>
          </w:tbl>
          <w:p w14:paraId="3EB10780">
            <w:pPr>
              <w:pStyle w:val="37"/>
              <w:ind w:firstLine="480"/>
              <w:rPr>
                <w:color w:val="auto"/>
              </w:rPr>
            </w:pPr>
            <w:r>
              <w:rPr>
                <w:rFonts w:hint="eastAsia"/>
                <w:color w:val="auto"/>
              </w:rPr>
              <w:t>（2）生态功能区划</w:t>
            </w:r>
          </w:p>
          <w:p w14:paraId="10F81B90">
            <w:pPr>
              <w:pStyle w:val="37"/>
              <w:ind w:firstLine="480"/>
              <w:rPr>
                <w:color w:val="auto"/>
              </w:rPr>
            </w:pPr>
            <w:r>
              <w:rPr>
                <w:color w:val="auto"/>
              </w:rPr>
              <w:t>根据《陕西省生态功能区划》</w:t>
            </w:r>
            <w:r>
              <w:rPr>
                <w:rFonts w:hint="eastAsia"/>
                <w:color w:val="auto"/>
              </w:rPr>
              <w:t>陕政办发〔2004〕115号），项目所在区域生态功能一级区为</w:t>
            </w:r>
            <w:r>
              <w:rPr>
                <w:rFonts w:hint="eastAsia"/>
                <w:color w:val="auto"/>
                <w:lang w:val="en-US" w:eastAsia="zh-CN"/>
              </w:rPr>
              <w:t>秦巴山地落叶阔叶、常绿阔叶混交林生态区</w:t>
            </w:r>
            <w:r>
              <w:rPr>
                <w:rFonts w:hint="eastAsia"/>
                <w:color w:val="auto"/>
              </w:rPr>
              <w:t>，二级区为</w:t>
            </w:r>
            <w:r>
              <w:rPr>
                <w:rFonts w:hint="eastAsia"/>
                <w:color w:val="auto"/>
                <w:lang w:val="en-US" w:eastAsia="zh-CN"/>
              </w:rPr>
              <w:t>秦岭山地水源涵养与生物多样性保育生态功能区</w:t>
            </w:r>
            <w:r>
              <w:rPr>
                <w:rFonts w:hint="eastAsia"/>
                <w:color w:val="auto"/>
              </w:rPr>
              <w:t>，三级区为</w:t>
            </w:r>
            <w:r>
              <w:rPr>
                <w:rFonts w:hint="eastAsia"/>
                <w:color w:val="auto"/>
                <w:lang w:val="en-US" w:eastAsia="zh-CN"/>
              </w:rPr>
              <w:t>秦岭中高山生物多样性保护区</w:t>
            </w:r>
            <w:r>
              <w:rPr>
                <w:rFonts w:hint="eastAsia"/>
                <w:color w:val="auto"/>
              </w:rPr>
              <w:t>。生态功能区具体划分情况见表</w:t>
            </w:r>
            <w:r>
              <w:rPr>
                <w:rFonts w:hint="eastAsia"/>
                <w:color w:val="auto"/>
                <w:lang w:val="en-US" w:eastAsia="zh-CN"/>
              </w:rPr>
              <w:t>9</w:t>
            </w:r>
            <w:r>
              <w:rPr>
                <w:rFonts w:hint="eastAsia"/>
                <w:color w:val="auto"/>
              </w:rPr>
              <w:t>，生态功能区划见附图。</w:t>
            </w:r>
          </w:p>
          <w:p w14:paraId="1826ADA8">
            <w:pPr>
              <w:pStyle w:val="35"/>
              <w:rPr>
                <w:color w:val="auto"/>
              </w:rPr>
            </w:pPr>
            <w:r>
              <w:rPr>
                <w:rFonts w:hint="eastAsia"/>
                <w:color w:val="auto"/>
              </w:rPr>
              <w:t>表</w:t>
            </w:r>
            <w:r>
              <w:rPr>
                <w:rFonts w:hint="eastAsia"/>
                <w:color w:val="auto"/>
                <w:lang w:val="en-US" w:eastAsia="zh-CN"/>
              </w:rPr>
              <w:t xml:space="preserve">9   </w:t>
            </w:r>
            <w:r>
              <w:rPr>
                <w:rFonts w:hint="eastAsia"/>
                <w:color w:val="auto"/>
              </w:rPr>
              <w:t>项目所在区域生态功能区划一览表</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15"/>
              <w:gridCol w:w="1139"/>
              <w:gridCol w:w="1139"/>
              <w:gridCol w:w="1139"/>
              <w:gridCol w:w="3968"/>
            </w:tblGrid>
            <w:tr w14:paraId="6B4A08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Merge w:val="restart"/>
                  <w:vAlign w:val="center"/>
                </w:tcPr>
                <w:p w14:paraId="29A89DF7">
                  <w:pPr>
                    <w:pStyle w:val="28"/>
                    <w:rPr>
                      <w:b/>
                      <w:bCs/>
                      <w:color w:val="auto"/>
                    </w:rPr>
                  </w:pPr>
                  <w:r>
                    <w:rPr>
                      <w:rFonts w:hint="eastAsia"/>
                      <w:b/>
                      <w:bCs/>
                      <w:color w:val="auto"/>
                    </w:rPr>
                    <w:t>序号</w:t>
                  </w:r>
                </w:p>
              </w:tc>
              <w:tc>
                <w:tcPr>
                  <w:tcW w:w="3828" w:type="dxa"/>
                  <w:gridSpan w:val="3"/>
                  <w:vAlign w:val="center"/>
                </w:tcPr>
                <w:p w14:paraId="7409DE03">
                  <w:pPr>
                    <w:pStyle w:val="28"/>
                    <w:rPr>
                      <w:b/>
                      <w:bCs/>
                      <w:color w:val="auto"/>
                    </w:rPr>
                  </w:pPr>
                  <w:r>
                    <w:rPr>
                      <w:rFonts w:hint="eastAsia"/>
                      <w:b/>
                      <w:bCs/>
                      <w:color w:val="auto"/>
                    </w:rPr>
                    <w:t>生态功能区</w:t>
                  </w:r>
                </w:p>
              </w:tc>
              <w:tc>
                <w:tcPr>
                  <w:tcW w:w="4529" w:type="dxa"/>
                  <w:vMerge w:val="restart"/>
                  <w:vAlign w:val="center"/>
                </w:tcPr>
                <w:p w14:paraId="44B4E5D0">
                  <w:pPr>
                    <w:pStyle w:val="28"/>
                    <w:rPr>
                      <w:b/>
                      <w:bCs/>
                      <w:color w:val="auto"/>
                    </w:rPr>
                  </w:pPr>
                  <w:r>
                    <w:rPr>
                      <w:rFonts w:hint="eastAsia"/>
                      <w:b/>
                      <w:bCs/>
                      <w:color w:val="auto"/>
                    </w:rPr>
                    <w:t>生态敏感性特征及保护对策</w:t>
                  </w:r>
                </w:p>
              </w:tc>
            </w:tr>
            <w:tr w14:paraId="55C24A3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Merge w:val="continue"/>
                  <w:vAlign w:val="center"/>
                </w:tcPr>
                <w:p w14:paraId="2B2A92F0">
                  <w:pPr>
                    <w:pStyle w:val="28"/>
                    <w:rPr>
                      <w:color w:val="auto"/>
                    </w:rPr>
                  </w:pPr>
                </w:p>
              </w:tc>
              <w:tc>
                <w:tcPr>
                  <w:tcW w:w="1276" w:type="dxa"/>
                  <w:vAlign w:val="center"/>
                </w:tcPr>
                <w:p w14:paraId="7990B068">
                  <w:pPr>
                    <w:pStyle w:val="28"/>
                    <w:rPr>
                      <w:b/>
                      <w:bCs/>
                      <w:color w:val="auto"/>
                    </w:rPr>
                  </w:pPr>
                  <w:r>
                    <w:rPr>
                      <w:rFonts w:hint="eastAsia"/>
                      <w:b/>
                      <w:bCs/>
                      <w:color w:val="auto"/>
                    </w:rPr>
                    <w:t>一级区</w:t>
                  </w:r>
                </w:p>
              </w:tc>
              <w:tc>
                <w:tcPr>
                  <w:tcW w:w="1276" w:type="dxa"/>
                  <w:vAlign w:val="center"/>
                </w:tcPr>
                <w:p w14:paraId="72001442">
                  <w:pPr>
                    <w:pStyle w:val="28"/>
                    <w:rPr>
                      <w:b/>
                      <w:bCs/>
                      <w:color w:val="auto"/>
                    </w:rPr>
                  </w:pPr>
                  <w:r>
                    <w:rPr>
                      <w:rFonts w:hint="eastAsia"/>
                      <w:b/>
                      <w:bCs/>
                      <w:color w:val="auto"/>
                    </w:rPr>
                    <w:t>二级区</w:t>
                  </w:r>
                </w:p>
              </w:tc>
              <w:tc>
                <w:tcPr>
                  <w:tcW w:w="1276" w:type="dxa"/>
                  <w:vAlign w:val="center"/>
                </w:tcPr>
                <w:p w14:paraId="2B22EAFD">
                  <w:pPr>
                    <w:pStyle w:val="28"/>
                    <w:rPr>
                      <w:b/>
                      <w:bCs/>
                      <w:color w:val="auto"/>
                    </w:rPr>
                  </w:pPr>
                  <w:r>
                    <w:rPr>
                      <w:rFonts w:hint="eastAsia"/>
                      <w:b/>
                      <w:bCs/>
                      <w:color w:val="auto"/>
                    </w:rPr>
                    <w:t>三级区</w:t>
                  </w:r>
                </w:p>
              </w:tc>
              <w:tc>
                <w:tcPr>
                  <w:tcW w:w="4529" w:type="dxa"/>
                  <w:vMerge w:val="continue"/>
                  <w:vAlign w:val="center"/>
                </w:tcPr>
                <w:p w14:paraId="4E78CAD6">
                  <w:pPr>
                    <w:pStyle w:val="28"/>
                    <w:rPr>
                      <w:color w:val="auto"/>
                    </w:rPr>
                  </w:pPr>
                </w:p>
              </w:tc>
            </w:tr>
            <w:tr w14:paraId="1C4DEC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675" w:type="dxa"/>
                  <w:vAlign w:val="center"/>
                </w:tcPr>
                <w:p w14:paraId="4EC7A162">
                  <w:pPr>
                    <w:pStyle w:val="28"/>
                    <w:rPr>
                      <w:color w:val="auto"/>
                    </w:rPr>
                  </w:pPr>
                  <w:r>
                    <w:rPr>
                      <w:rFonts w:hint="eastAsia"/>
                      <w:color w:val="auto"/>
                    </w:rPr>
                    <w:t>1</w:t>
                  </w:r>
                </w:p>
              </w:tc>
              <w:tc>
                <w:tcPr>
                  <w:tcW w:w="1276" w:type="dxa"/>
                  <w:vAlign w:val="center"/>
                </w:tcPr>
                <w:p w14:paraId="424ED0C2">
                  <w:pPr>
                    <w:pStyle w:val="28"/>
                    <w:rPr>
                      <w:color w:val="auto"/>
                    </w:rPr>
                  </w:pPr>
                  <w:r>
                    <w:rPr>
                      <w:rFonts w:hint="eastAsia"/>
                      <w:color w:val="auto"/>
                      <w:lang w:val="en-US" w:eastAsia="zh-CN"/>
                    </w:rPr>
                    <w:t>秦巴山地落叶阔叶、常绿阔叶混交林生态区</w:t>
                  </w:r>
                </w:p>
              </w:tc>
              <w:tc>
                <w:tcPr>
                  <w:tcW w:w="1276" w:type="dxa"/>
                  <w:vAlign w:val="center"/>
                </w:tcPr>
                <w:p w14:paraId="1CB7C656">
                  <w:pPr>
                    <w:pStyle w:val="28"/>
                    <w:rPr>
                      <w:color w:val="auto"/>
                    </w:rPr>
                  </w:pPr>
                  <w:r>
                    <w:rPr>
                      <w:rFonts w:hint="eastAsia"/>
                      <w:color w:val="auto"/>
                      <w:lang w:val="en-US" w:eastAsia="zh-CN"/>
                    </w:rPr>
                    <w:t>秦岭山地水源涵养与生物多样性保育生态功能区</w:t>
                  </w:r>
                </w:p>
              </w:tc>
              <w:tc>
                <w:tcPr>
                  <w:tcW w:w="1276" w:type="dxa"/>
                  <w:vAlign w:val="center"/>
                </w:tcPr>
                <w:p w14:paraId="6146B4F7">
                  <w:pPr>
                    <w:pStyle w:val="28"/>
                    <w:rPr>
                      <w:color w:val="auto"/>
                    </w:rPr>
                  </w:pPr>
                  <w:r>
                    <w:rPr>
                      <w:rFonts w:hint="eastAsia"/>
                      <w:color w:val="auto"/>
                      <w:lang w:val="en-US" w:eastAsia="zh-CN"/>
                    </w:rPr>
                    <w:t>秦岭中高山生物多样性保护区</w:t>
                  </w:r>
                </w:p>
              </w:tc>
              <w:tc>
                <w:tcPr>
                  <w:tcW w:w="4529" w:type="dxa"/>
                  <w:vAlign w:val="center"/>
                </w:tcPr>
                <w:p w14:paraId="431E663F">
                  <w:pPr>
                    <w:pStyle w:val="28"/>
                    <w:rPr>
                      <w:color w:val="auto"/>
                    </w:rPr>
                  </w:pPr>
                  <w:r>
                    <w:rPr>
                      <w:rFonts w:hint="eastAsia"/>
                      <w:color w:val="auto"/>
                    </w:rPr>
                    <w:t>生物多样性集中分布区</w:t>
                  </w:r>
                  <w:r>
                    <w:rPr>
                      <w:rFonts w:hint="eastAsia"/>
                      <w:color w:val="auto"/>
                      <w:lang w:eastAsia="zh-CN"/>
                    </w:rPr>
                    <w:t>，</w:t>
                  </w:r>
                  <w:r>
                    <w:rPr>
                      <w:rFonts w:hint="eastAsia"/>
                      <w:color w:val="auto"/>
                    </w:rPr>
                    <w:t>维持功能极重要，也是众多河流源头</w:t>
                  </w:r>
                  <w:r>
                    <w:rPr>
                      <w:rFonts w:hint="eastAsia"/>
                      <w:color w:val="auto"/>
                      <w:lang w:eastAsia="zh-CN"/>
                    </w:rPr>
                    <w:t>：</w:t>
                  </w:r>
                  <w:r>
                    <w:rPr>
                      <w:rFonts w:hint="eastAsia"/>
                      <w:color w:val="auto"/>
                    </w:rPr>
                    <w:t>完善自然保护区网建设，保护天然植被</w:t>
                  </w:r>
                </w:p>
              </w:tc>
            </w:tr>
          </w:tbl>
          <w:p w14:paraId="602BA48D">
            <w:pPr>
              <w:pStyle w:val="37"/>
              <w:ind w:firstLine="480"/>
              <w:rPr>
                <w:color w:val="auto"/>
              </w:rPr>
            </w:pPr>
          </w:p>
        </w:tc>
      </w:tr>
      <w:tr w14:paraId="432CD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56635182">
            <w:pPr>
              <w:pStyle w:val="3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hint="eastAsia"/>
                <w:color w:val="auto"/>
              </w:rPr>
              <w:t>与项目有关的原有环境污染和生态破坏问题</w:t>
            </w:r>
          </w:p>
        </w:tc>
        <w:tc>
          <w:tcPr>
            <w:tcW w:w="8216" w:type="dxa"/>
            <w:vAlign w:val="center"/>
          </w:tcPr>
          <w:p w14:paraId="4B1601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lang w:eastAsia="zh-CN"/>
              </w:rPr>
            </w:pPr>
            <w:r>
              <w:rPr>
                <w:rFonts w:hint="default" w:ascii="Times New Roman" w:hAnsi="Times New Roman" w:cs="Times New Roman"/>
                <w:color w:val="auto"/>
              </w:rPr>
              <w:t>该段河道没有统一的规划治理，河道无防护工程，岸坎冲刷破坏严重，若遇到大的洪水易造成垮塌，对左岸的老县城古城墙遗址、居民房屋、农田安全造成威胁</w:t>
            </w:r>
            <w:r>
              <w:rPr>
                <w:rFonts w:hint="eastAsia" w:cs="Times New Roman"/>
                <w:color w:val="auto"/>
                <w:lang w:eastAsia="zh-CN"/>
              </w:rPr>
              <w:t>，</w:t>
            </w:r>
            <w:r>
              <w:rPr>
                <w:rFonts w:hint="default" w:ascii="Times New Roman" w:hAnsi="Times New Roman" w:eastAsia="宋体" w:cs="Times New Roman"/>
                <w:color w:val="auto"/>
                <w:kern w:val="2"/>
                <w:sz w:val="24"/>
                <w:szCs w:val="24"/>
                <w:lang w:val="en-US" w:eastAsia="zh-CN" w:bidi="ar-SA"/>
              </w:rPr>
              <w:t>本次建设护岸，可以保障防洪功能，极大保障周边群众生命安全</w:t>
            </w:r>
            <w:r>
              <w:rPr>
                <w:rFonts w:hint="eastAsia" w:cs="Times New Roman"/>
                <w:color w:val="auto"/>
                <w:kern w:val="2"/>
                <w:sz w:val="24"/>
                <w:szCs w:val="24"/>
                <w:lang w:val="en-US" w:eastAsia="zh-CN" w:bidi="ar-SA"/>
              </w:rPr>
              <w:t>。</w:t>
            </w:r>
          </w:p>
          <w:p w14:paraId="5DA6E2C5">
            <w:pPr>
              <w:pStyle w:val="37"/>
              <w:ind w:firstLine="480"/>
              <w:rPr>
                <w:color w:val="auto"/>
              </w:rPr>
            </w:pPr>
          </w:p>
        </w:tc>
      </w:tr>
      <w:tr w14:paraId="78349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11EDD29E">
            <w:pPr>
              <w:pStyle w:val="37"/>
              <w:ind w:firstLine="0" w:firstLineChars="0"/>
              <w:jc w:val="center"/>
              <w:rPr>
                <w:color w:val="auto"/>
              </w:rPr>
            </w:pPr>
            <w:r>
              <w:rPr>
                <w:rFonts w:hint="eastAsia"/>
                <w:color w:val="auto"/>
              </w:rPr>
              <w:t>生态环境保护目标</w:t>
            </w:r>
          </w:p>
        </w:tc>
        <w:tc>
          <w:tcPr>
            <w:tcW w:w="8216" w:type="dxa"/>
            <w:vAlign w:val="center"/>
          </w:tcPr>
          <w:p w14:paraId="6BB71C8A">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color w:val="auto"/>
              </w:rPr>
            </w:pPr>
            <w:r>
              <w:rPr>
                <w:rFonts w:hint="eastAsia"/>
                <w:color w:val="auto"/>
              </w:rPr>
              <w:t>本项目位于周至县</w:t>
            </w:r>
            <w:r>
              <w:rPr>
                <w:rFonts w:hint="eastAsia"/>
                <w:color w:val="auto"/>
                <w:lang w:val="en-US" w:eastAsia="zh-CN"/>
              </w:rPr>
              <w:t>老县城村段</w:t>
            </w:r>
            <w:r>
              <w:rPr>
                <w:rFonts w:hint="eastAsia"/>
                <w:color w:val="auto"/>
              </w:rPr>
              <w:t>，工程新修</w:t>
            </w:r>
            <w:r>
              <w:rPr>
                <w:rFonts w:hint="eastAsia"/>
                <w:color w:val="auto"/>
                <w:lang w:val="en-US" w:eastAsia="zh-CN"/>
              </w:rPr>
              <w:t>护岸</w:t>
            </w:r>
            <w:r>
              <w:rPr>
                <w:rFonts w:hint="eastAsia"/>
                <w:color w:val="auto"/>
              </w:rPr>
              <w:t>所保护的河道位于</w:t>
            </w:r>
            <w:r>
              <w:rPr>
                <w:rFonts w:hint="eastAsia"/>
                <w:color w:val="auto"/>
                <w:lang w:val="en-US" w:eastAsia="zh-CN"/>
              </w:rPr>
              <w:t>陕西省周至老县城自然保护区</w:t>
            </w:r>
            <w:r>
              <w:rPr>
                <w:rFonts w:hint="eastAsia"/>
                <w:color w:val="auto"/>
              </w:rPr>
              <w:t>。项目沿线分布的保护目标具体如下：</w:t>
            </w:r>
          </w:p>
          <w:p w14:paraId="0DC883A1">
            <w:pPr>
              <w:pStyle w:val="35"/>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color w:val="auto"/>
              </w:rPr>
              <w:t>表</w:t>
            </w:r>
            <w:r>
              <w:rPr>
                <w:rFonts w:hint="eastAsia"/>
                <w:color w:val="auto"/>
                <w:lang w:val="en-US" w:eastAsia="zh-CN"/>
              </w:rPr>
              <w:t xml:space="preserve">10   </w:t>
            </w:r>
            <w:r>
              <w:rPr>
                <w:rFonts w:hint="eastAsia"/>
                <w:color w:val="auto"/>
              </w:rPr>
              <w:t>主要生态环境保护目标一览表</w:t>
            </w:r>
          </w:p>
          <w:tbl>
            <w:tblPr>
              <w:tblStyle w:val="18"/>
              <w:tblW w:w="823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64"/>
              <w:gridCol w:w="617"/>
              <w:gridCol w:w="553"/>
              <w:gridCol w:w="1"/>
              <w:gridCol w:w="590"/>
              <w:gridCol w:w="2"/>
              <w:gridCol w:w="1533"/>
              <w:gridCol w:w="3"/>
              <w:gridCol w:w="1428"/>
              <w:gridCol w:w="3"/>
              <w:gridCol w:w="3"/>
              <w:gridCol w:w="236"/>
              <w:gridCol w:w="2459"/>
              <w:gridCol w:w="3"/>
              <w:gridCol w:w="241"/>
            </w:tblGrid>
            <w:tr w14:paraId="3BF1BF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43" w:type="pct"/>
                <w:jc w:val="center"/>
              </w:trPr>
              <w:tc>
                <w:tcPr>
                  <w:tcW w:w="343" w:type="pct"/>
                  <w:vMerge w:val="restart"/>
                  <w:vAlign w:val="center"/>
                </w:tcPr>
                <w:p w14:paraId="7464EDEB">
                  <w:pPr>
                    <w:pStyle w:val="28"/>
                    <w:rPr>
                      <w:b/>
                      <w:bCs/>
                      <w:color w:val="auto"/>
                    </w:rPr>
                  </w:pPr>
                  <w:r>
                    <w:rPr>
                      <w:rFonts w:hint="eastAsia"/>
                      <w:b/>
                      <w:bCs/>
                      <w:color w:val="auto"/>
                    </w:rPr>
                    <w:t>环境</w:t>
                  </w:r>
                </w:p>
                <w:p w14:paraId="0C87C861">
                  <w:pPr>
                    <w:pStyle w:val="28"/>
                    <w:rPr>
                      <w:b/>
                      <w:bCs/>
                      <w:color w:val="auto"/>
                    </w:rPr>
                  </w:pPr>
                  <w:r>
                    <w:rPr>
                      <w:rFonts w:hint="eastAsia"/>
                      <w:b/>
                      <w:bCs/>
                      <w:color w:val="auto"/>
                    </w:rPr>
                    <w:t>要素</w:t>
                  </w:r>
                </w:p>
              </w:tc>
              <w:tc>
                <w:tcPr>
                  <w:tcW w:w="2872" w:type="pct"/>
                  <w:gridSpan w:val="9"/>
                  <w:vAlign w:val="center"/>
                </w:tcPr>
                <w:p w14:paraId="0C36E26D">
                  <w:pPr>
                    <w:pStyle w:val="28"/>
                    <w:rPr>
                      <w:b/>
                      <w:bCs/>
                      <w:color w:val="auto"/>
                    </w:rPr>
                  </w:pPr>
                  <w:r>
                    <w:rPr>
                      <w:rFonts w:hint="eastAsia"/>
                      <w:b/>
                      <w:bCs/>
                      <w:color w:val="auto"/>
                    </w:rPr>
                    <w:t>保护目标</w:t>
                  </w:r>
                </w:p>
              </w:tc>
              <w:tc>
                <w:tcPr>
                  <w:tcW w:w="1640" w:type="pct"/>
                  <w:gridSpan w:val="4"/>
                  <w:vAlign w:val="center"/>
                </w:tcPr>
                <w:p w14:paraId="36F50362">
                  <w:pPr>
                    <w:pStyle w:val="28"/>
                    <w:rPr>
                      <w:b/>
                      <w:bCs/>
                      <w:color w:val="auto"/>
                    </w:rPr>
                  </w:pPr>
                  <w:r>
                    <w:rPr>
                      <w:rFonts w:hint="eastAsia"/>
                      <w:b/>
                      <w:bCs/>
                      <w:color w:val="auto"/>
                    </w:rPr>
                    <w:t>保护要求</w:t>
                  </w:r>
                </w:p>
              </w:tc>
            </w:tr>
            <w:tr w14:paraId="62ECF0F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3" w:type="pct"/>
                  <w:vMerge w:val="continue"/>
                  <w:vAlign w:val="center"/>
                </w:tcPr>
                <w:p w14:paraId="2C6712FB">
                  <w:pPr>
                    <w:pStyle w:val="28"/>
                    <w:rPr>
                      <w:b/>
                      <w:bCs/>
                      <w:color w:val="auto"/>
                    </w:rPr>
                  </w:pPr>
                </w:p>
              </w:tc>
              <w:tc>
                <w:tcPr>
                  <w:tcW w:w="375" w:type="pct"/>
                  <w:vMerge w:val="restart"/>
                  <w:vAlign w:val="center"/>
                </w:tcPr>
                <w:p w14:paraId="5BB32420">
                  <w:pPr>
                    <w:pStyle w:val="28"/>
                    <w:rPr>
                      <w:b/>
                      <w:bCs/>
                      <w:color w:val="auto"/>
                    </w:rPr>
                  </w:pPr>
                  <w:r>
                    <w:rPr>
                      <w:rFonts w:hint="eastAsia"/>
                      <w:b/>
                      <w:bCs/>
                      <w:color w:val="auto"/>
                    </w:rPr>
                    <w:t>名称</w:t>
                  </w:r>
                </w:p>
              </w:tc>
              <w:tc>
                <w:tcPr>
                  <w:tcW w:w="695" w:type="pct"/>
                  <w:gridSpan w:val="4"/>
                  <w:vAlign w:val="center"/>
                </w:tcPr>
                <w:p w14:paraId="6D59F430">
                  <w:pPr>
                    <w:pStyle w:val="28"/>
                    <w:rPr>
                      <w:b/>
                      <w:bCs/>
                      <w:color w:val="auto"/>
                    </w:rPr>
                  </w:pPr>
                  <w:r>
                    <w:rPr>
                      <w:rFonts w:hint="eastAsia"/>
                      <w:b/>
                      <w:bCs/>
                      <w:color w:val="auto"/>
                    </w:rPr>
                    <w:t>相对项目</w:t>
                  </w:r>
                </w:p>
              </w:tc>
              <w:tc>
                <w:tcPr>
                  <w:tcW w:w="1801" w:type="pct"/>
                  <w:gridSpan w:val="5"/>
                  <w:vAlign w:val="center"/>
                </w:tcPr>
                <w:p w14:paraId="01134CFA">
                  <w:pPr>
                    <w:pStyle w:val="28"/>
                    <w:rPr>
                      <w:b/>
                      <w:bCs/>
                      <w:color w:val="auto"/>
                    </w:rPr>
                  </w:pPr>
                  <w:r>
                    <w:rPr>
                      <w:rFonts w:hint="eastAsia"/>
                      <w:b/>
                      <w:bCs/>
                      <w:color w:val="auto"/>
                    </w:rPr>
                    <w:t>坐标</w:t>
                  </w:r>
                </w:p>
              </w:tc>
              <w:tc>
                <w:tcPr>
                  <w:tcW w:w="143" w:type="pct"/>
                  <w:vMerge w:val="restart"/>
                  <w:vAlign w:val="center"/>
                </w:tcPr>
                <w:p w14:paraId="10B5C4FF">
                  <w:pPr>
                    <w:pStyle w:val="28"/>
                    <w:rPr>
                      <w:b/>
                      <w:bCs/>
                      <w:color w:val="auto"/>
                    </w:rPr>
                  </w:pPr>
                  <w:r>
                    <w:rPr>
                      <w:rFonts w:hint="eastAsia"/>
                      <w:b/>
                      <w:bCs/>
                      <w:color w:val="auto"/>
                    </w:rPr>
                    <w:t>保护对象</w:t>
                  </w:r>
                </w:p>
              </w:tc>
              <w:tc>
                <w:tcPr>
                  <w:tcW w:w="1640" w:type="pct"/>
                  <w:gridSpan w:val="3"/>
                  <w:vMerge w:val="restart"/>
                  <w:vAlign w:val="center"/>
                </w:tcPr>
                <w:p w14:paraId="1E983AA4">
                  <w:pPr>
                    <w:pStyle w:val="28"/>
                    <w:rPr>
                      <w:b/>
                      <w:bCs/>
                      <w:color w:val="auto"/>
                    </w:rPr>
                  </w:pPr>
                </w:p>
              </w:tc>
            </w:tr>
            <w:tr w14:paraId="54235F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3" w:type="pct"/>
                  <w:vMerge w:val="continue"/>
                  <w:vAlign w:val="center"/>
                </w:tcPr>
                <w:p w14:paraId="74076D7D">
                  <w:pPr>
                    <w:pStyle w:val="28"/>
                    <w:rPr>
                      <w:b/>
                      <w:bCs/>
                      <w:color w:val="auto"/>
                    </w:rPr>
                  </w:pPr>
                </w:p>
              </w:tc>
              <w:tc>
                <w:tcPr>
                  <w:tcW w:w="375" w:type="pct"/>
                  <w:vMerge w:val="continue"/>
                  <w:vAlign w:val="center"/>
                </w:tcPr>
                <w:p w14:paraId="469D70B1">
                  <w:pPr>
                    <w:pStyle w:val="28"/>
                    <w:rPr>
                      <w:b/>
                      <w:bCs/>
                      <w:color w:val="auto"/>
                    </w:rPr>
                  </w:pPr>
                </w:p>
              </w:tc>
              <w:tc>
                <w:tcPr>
                  <w:tcW w:w="336" w:type="pct"/>
                  <w:gridSpan w:val="2"/>
                  <w:vAlign w:val="center"/>
                </w:tcPr>
                <w:p w14:paraId="2338C283">
                  <w:pPr>
                    <w:pStyle w:val="28"/>
                    <w:rPr>
                      <w:b/>
                      <w:bCs/>
                      <w:color w:val="auto"/>
                    </w:rPr>
                  </w:pPr>
                  <w:r>
                    <w:rPr>
                      <w:rFonts w:hint="eastAsia"/>
                      <w:b/>
                      <w:bCs/>
                      <w:color w:val="auto"/>
                    </w:rPr>
                    <w:t>方位</w:t>
                  </w:r>
                </w:p>
              </w:tc>
              <w:tc>
                <w:tcPr>
                  <w:tcW w:w="359" w:type="pct"/>
                  <w:gridSpan w:val="2"/>
                  <w:vAlign w:val="center"/>
                </w:tcPr>
                <w:p w14:paraId="701088D4">
                  <w:pPr>
                    <w:pStyle w:val="28"/>
                    <w:rPr>
                      <w:b/>
                      <w:bCs/>
                      <w:color w:val="auto"/>
                    </w:rPr>
                  </w:pPr>
                  <w:r>
                    <w:rPr>
                      <w:rFonts w:hint="eastAsia"/>
                      <w:b/>
                      <w:bCs/>
                      <w:color w:val="auto"/>
                    </w:rPr>
                    <w:t>距离</w:t>
                  </w:r>
                </w:p>
              </w:tc>
              <w:tc>
                <w:tcPr>
                  <w:tcW w:w="932" w:type="pct"/>
                  <w:gridSpan w:val="2"/>
                  <w:vAlign w:val="center"/>
                </w:tcPr>
                <w:p w14:paraId="40BBA08A">
                  <w:pPr>
                    <w:pStyle w:val="28"/>
                    <w:rPr>
                      <w:b/>
                      <w:bCs/>
                      <w:color w:val="auto"/>
                    </w:rPr>
                  </w:pPr>
                  <w:r>
                    <w:rPr>
                      <w:rFonts w:hint="eastAsia"/>
                      <w:b/>
                      <w:bCs/>
                      <w:color w:val="auto"/>
                    </w:rPr>
                    <w:t>经度</w:t>
                  </w:r>
                </w:p>
              </w:tc>
              <w:tc>
                <w:tcPr>
                  <w:tcW w:w="869" w:type="pct"/>
                  <w:gridSpan w:val="3"/>
                  <w:vAlign w:val="center"/>
                </w:tcPr>
                <w:p w14:paraId="0AFEECFB">
                  <w:pPr>
                    <w:pStyle w:val="28"/>
                    <w:rPr>
                      <w:b/>
                      <w:bCs/>
                      <w:color w:val="auto"/>
                    </w:rPr>
                  </w:pPr>
                  <w:r>
                    <w:rPr>
                      <w:rFonts w:hint="eastAsia"/>
                      <w:b/>
                      <w:bCs/>
                      <w:color w:val="auto"/>
                    </w:rPr>
                    <w:t>纬度</w:t>
                  </w:r>
                </w:p>
              </w:tc>
              <w:tc>
                <w:tcPr>
                  <w:tcW w:w="143" w:type="pct"/>
                  <w:vMerge w:val="continue"/>
                  <w:vAlign w:val="center"/>
                </w:tcPr>
                <w:p w14:paraId="52C1C136">
                  <w:pPr>
                    <w:pStyle w:val="28"/>
                    <w:rPr>
                      <w:b/>
                      <w:bCs/>
                      <w:color w:val="auto"/>
                    </w:rPr>
                  </w:pPr>
                </w:p>
              </w:tc>
              <w:tc>
                <w:tcPr>
                  <w:tcW w:w="1640" w:type="pct"/>
                  <w:gridSpan w:val="3"/>
                  <w:vMerge w:val="continue"/>
                  <w:vAlign w:val="center"/>
                </w:tcPr>
                <w:p w14:paraId="3509169F">
                  <w:pPr>
                    <w:pStyle w:val="28"/>
                    <w:rPr>
                      <w:b/>
                      <w:bCs/>
                      <w:color w:val="auto"/>
                    </w:rPr>
                  </w:pPr>
                </w:p>
              </w:tc>
            </w:tr>
            <w:tr w14:paraId="0E8020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343" w:type="pct"/>
                  <w:vAlign w:val="center"/>
                </w:tcPr>
                <w:p w14:paraId="28D86059">
                  <w:pPr>
                    <w:pStyle w:val="28"/>
                    <w:rPr>
                      <w:b/>
                      <w:bCs/>
                      <w:color w:val="auto"/>
                    </w:rPr>
                  </w:pPr>
                  <w:r>
                    <w:rPr>
                      <w:rFonts w:hint="eastAsia"/>
                      <w:color w:val="auto"/>
                    </w:rPr>
                    <w:t>大气</w:t>
                  </w:r>
                </w:p>
              </w:tc>
              <w:tc>
                <w:tcPr>
                  <w:tcW w:w="375" w:type="pct"/>
                  <w:vAlign w:val="center"/>
                </w:tcPr>
                <w:p w14:paraId="39AE3A5D">
                  <w:pPr>
                    <w:pStyle w:val="28"/>
                    <w:rPr>
                      <w:rFonts w:hint="default" w:eastAsia="宋体"/>
                      <w:b/>
                      <w:bCs/>
                      <w:color w:val="auto"/>
                      <w:lang w:val="en-US" w:eastAsia="zh-CN"/>
                    </w:rPr>
                  </w:pPr>
                  <w:r>
                    <w:rPr>
                      <w:rFonts w:hint="eastAsia"/>
                      <w:color w:val="auto"/>
                      <w:szCs w:val="21"/>
                      <w:lang w:val="en-US" w:eastAsia="zh-CN"/>
                    </w:rPr>
                    <w:t>老县城村民宅</w:t>
                  </w:r>
                </w:p>
              </w:tc>
              <w:tc>
                <w:tcPr>
                  <w:tcW w:w="336" w:type="pct"/>
                  <w:gridSpan w:val="2"/>
                  <w:vAlign w:val="center"/>
                </w:tcPr>
                <w:p w14:paraId="2F8E1855">
                  <w:pPr>
                    <w:pStyle w:val="28"/>
                    <w:rPr>
                      <w:rFonts w:hint="default" w:eastAsia="宋体"/>
                      <w:color w:val="auto"/>
                      <w:lang w:val="en-US" w:eastAsia="zh-CN"/>
                    </w:rPr>
                  </w:pPr>
                  <w:r>
                    <w:rPr>
                      <w:rFonts w:hint="eastAsia"/>
                      <w:color w:val="auto"/>
                      <w:lang w:val="en-US" w:eastAsia="zh-CN"/>
                    </w:rPr>
                    <w:t>南</w:t>
                  </w:r>
                </w:p>
              </w:tc>
              <w:tc>
                <w:tcPr>
                  <w:tcW w:w="359" w:type="pct"/>
                  <w:gridSpan w:val="2"/>
                  <w:vAlign w:val="center"/>
                </w:tcPr>
                <w:p w14:paraId="35683C1B">
                  <w:pPr>
                    <w:pStyle w:val="28"/>
                    <w:rPr>
                      <w:rFonts w:hint="default" w:eastAsia="宋体"/>
                      <w:color w:val="auto"/>
                      <w:lang w:val="en-US" w:eastAsia="zh-CN"/>
                    </w:rPr>
                  </w:pPr>
                  <w:r>
                    <w:rPr>
                      <w:rFonts w:hint="eastAsia"/>
                      <w:color w:val="auto"/>
                      <w:lang w:val="en-US" w:eastAsia="zh-CN"/>
                    </w:rPr>
                    <w:t>56m</w:t>
                  </w:r>
                </w:p>
              </w:tc>
              <w:tc>
                <w:tcPr>
                  <w:tcW w:w="932" w:type="pct"/>
                  <w:gridSpan w:val="2"/>
                  <w:vAlign w:val="center"/>
                </w:tcPr>
                <w:p w14:paraId="08D5815C">
                  <w:pPr>
                    <w:pStyle w:val="28"/>
                    <w:rPr>
                      <w:color w:val="auto"/>
                    </w:rPr>
                  </w:pPr>
                  <w:r>
                    <w:rPr>
                      <w:color w:val="auto"/>
                    </w:rPr>
                    <w:t>107°44′58.999″</w:t>
                  </w:r>
                </w:p>
              </w:tc>
              <w:tc>
                <w:tcPr>
                  <w:tcW w:w="869" w:type="pct"/>
                  <w:gridSpan w:val="3"/>
                  <w:vAlign w:val="center"/>
                </w:tcPr>
                <w:p w14:paraId="5A28F112">
                  <w:pPr>
                    <w:pStyle w:val="28"/>
                    <w:rPr>
                      <w:color w:val="auto"/>
                    </w:rPr>
                  </w:pPr>
                  <w:r>
                    <w:rPr>
                      <w:color w:val="auto"/>
                    </w:rPr>
                    <w:t>33°47′54.908″</w:t>
                  </w:r>
                </w:p>
              </w:tc>
              <w:tc>
                <w:tcPr>
                  <w:tcW w:w="143" w:type="pct"/>
                  <w:vAlign w:val="center"/>
                </w:tcPr>
                <w:p w14:paraId="024BDED8">
                  <w:pPr>
                    <w:pStyle w:val="28"/>
                    <w:rPr>
                      <w:color w:val="auto"/>
                    </w:rPr>
                  </w:pPr>
                  <w:r>
                    <w:rPr>
                      <w:rFonts w:hint="eastAsia"/>
                      <w:color w:val="auto"/>
                      <w:lang w:val="en-US" w:eastAsia="zh-CN"/>
                    </w:rPr>
                    <w:t>180</w:t>
                  </w:r>
                  <w:r>
                    <w:rPr>
                      <w:color w:val="auto"/>
                    </w:rPr>
                    <w:t>人</w:t>
                  </w:r>
                </w:p>
              </w:tc>
              <w:tc>
                <w:tcPr>
                  <w:tcW w:w="1640" w:type="pct"/>
                  <w:gridSpan w:val="3"/>
                  <w:vAlign w:val="center"/>
                </w:tcPr>
                <w:p w14:paraId="51B7D2DD">
                  <w:pPr>
                    <w:pStyle w:val="28"/>
                    <w:rPr>
                      <w:color w:val="auto"/>
                    </w:rPr>
                  </w:pPr>
                  <w:r>
                    <w:rPr>
                      <w:rFonts w:hint="eastAsia"/>
                      <w:color w:val="auto"/>
                    </w:rPr>
                    <w:t>《环境空气质量标准》（GB3095-2012）中</w:t>
                  </w:r>
                  <w:r>
                    <w:rPr>
                      <w:rFonts w:hint="eastAsia"/>
                      <w:color w:val="auto"/>
                      <w:lang w:val="en-US" w:eastAsia="zh-CN"/>
                    </w:rPr>
                    <w:t>一</w:t>
                  </w:r>
                  <w:r>
                    <w:rPr>
                      <w:rFonts w:hint="eastAsia"/>
                      <w:color w:val="auto"/>
                    </w:rPr>
                    <w:t>级标准</w:t>
                  </w:r>
                </w:p>
              </w:tc>
            </w:tr>
            <w:tr w14:paraId="71CFAC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2"/>
                <w:wAfter w:w="143" w:type="pct"/>
                <w:jc w:val="center"/>
              </w:trPr>
              <w:tc>
                <w:tcPr>
                  <w:tcW w:w="343" w:type="pct"/>
                  <w:vAlign w:val="center"/>
                </w:tcPr>
                <w:p w14:paraId="7AECD162">
                  <w:pPr>
                    <w:pStyle w:val="28"/>
                    <w:rPr>
                      <w:rFonts w:hint="eastAsia" w:eastAsia="宋体"/>
                      <w:color w:val="auto"/>
                      <w:lang w:val="en-US" w:eastAsia="zh-CN"/>
                    </w:rPr>
                  </w:pPr>
                  <w:r>
                    <w:rPr>
                      <w:rFonts w:hint="eastAsia"/>
                      <w:color w:val="auto"/>
                      <w:lang w:val="en-US" w:eastAsia="zh-CN"/>
                    </w:rPr>
                    <w:t>声</w:t>
                  </w:r>
                </w:p>
              </w:tc>
              <w:tc>
                <w:tcPr>
                  <w:tcW w:w="375" w:type="pct"/>
                  <w:vAlign w:val="center"/>
                </w:tcPr>
                <w:p w14:paraId="18FBC50A">
                  <w:pPr>
                    <w:pStyle w:val="28"/>
                    <w:rPr>
                      <w:rFonts w:hint="eastAsia"/>
                      <w:color w:val="auto"/>
                      <w:szCs w:val="21"/>
                      <w:lang w:val="en-US" w:eastAsia="zh-CN"/>
                    </w:rPr>
                  </w:pPr>
                  <w:r>
                    <w:rPr>
                      <w:rFonts w:hint="eastAsia"/>
                      <w:color w:val="auto"/>
                      <w:szCs w:val="21"/>
                      <w:lang w:val="en-US" w:eastAsia="zh-CN"/>
                    </w:rPr>
                    <w:t>老县城村</w:t>
                  </w:r>
                </w:p>
              </w:tc>
              <w:tc>
                <w:tcPr>
                  <w:tcW w:w="336" w:type="pct"/>
                  <w:vAlign w:val="center"/>
                </w:tcPr>
                <w:p w14:paraId="349C7265">
                  <w:pPr>
                    <w:pStyle w:val="28"/>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南</w:t>
                  </w:r>
                </w:p>
              </w:tc>
              <w:tc>
                <w:tcPr>
                  <w:tcW w:w="359" w:type="pct"/>
                  <w:gridSpan w:val="2"/>
                  <w:vAlign w:val="center"/>
                </w:tcPr>
                <w:p w14:paraId="1BD4BA58">
                  <w:pPr>
                    <w:pStyle w:val="28"/>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56m</w:t>
                  </w:r>
                </w:p>
              </w:tc>
              <w:tc>
                <w:tcPr>
                  <w:tcW w:w="932" w:type="pct"/>
                  <w:gridSpan w:val="2"/>
                  <w:vAlign w:val="center"/>
                </w:tcPr>
                <w:p w14:paraId="10A10BD3">
                  <w:pPr>
                    <w:pStyle w:val="28"/>
                    <w:rPr>
                      <w:rFonts w:ascii="Times New Roman" w:hAnsi="Times New Roman" w:eastAsia="宋体" w:cs="Times New Roman"/>
                      <w:color w:val="auto"/>
                      <w:kern w:val="2"/>
                      <w:sz w:val="21"/>
                      <w:szCs w:val="24"/>
                      <w:lang w:val="en-US" w:eastAsia="zh-CN" w:bidi="ar-SA"/>
                    </w:rPr>
                  </w:pPr>
                  <w:r>
                    <w:rPr>
                      <w:color w:val="auto"/>
                    </w:rPr>
                    <w:t>107°44′58.999″</w:t>
                  </w:r>
                </w:p>
              </w:tc>
              <w:tc>
                <w:tcPr>
                  <w:tcW w:w="869" w:type="pct"/>
                  <w:gridSpan w:val="2"/>
                  <w:vAlign w:val="center"/>
                </w:tcPr>
                <w:p w14:paraId="74023284">
                  <w:pPr>
                    <w:pStyle w:val="28"/>
                    <w:rPr>
                      <w:rFonts w:ascii="Times New Roman" w:hAnsi="Times New Roman" w:eastAsia="宋体" w:cs="Times New Roman"/>
                      <w:color w:val="auto"/>
                      <w:kern w:val="2"/>
                      <w:sz w:val="21"/>
                      <w:szCs w:val="24"/>
                      <w:lang w:val="en-US" w:eastAsia="zh-CN" w:bidi="ar-SA"/>
                    </w:rPr>
                  </w:pPr>
                  <w:r>
                    <w:rPr>
                      <w:color w:val="auto"/>
                    </w:rPr>
                    <w:t>33°47′54.908″</w:t>
                  </w:r>
                </w:p>
              </w:tc>
              <w:tc>
                <w:tcPr>
                  <w:tcW w:w="1640" w:type="pct"/>
                  <w:gridSpan w:val="4"/>
                  <w:vAlign w:val="center"/>
                </w:tcPr>
                <w:p w14:paraId="3EFEDDC2">
                  <w:pPr>
                    <w:pStyle w:val="28"/>
                    <w:rPr>
                      <w:rFonts w:hint="eastAsia"/>
                      <w:color w:val="auto"/>
                    </w:rPr>
                  </w:pPr>
                  <w:r>
                    <w:rPr>
                      <w:rFonts w:hint="eastAsia"/>
                      <w:color w:val="auto"/>
                    </w:rPr>
                    <w:t>《声环境质量标准》（GB3096-2008）中的</w:t>
                  </w:r>
                  <w:r>
                    <w:rPr>
                      <w:rFonts w:hint="eastAsia"/>
                      <w:color w:val="auto"/>
                      <w:lang w:val="en-US" w:eastAsia="zh-CN"/>
                    </w:rPr>
                    <w:t>1</w:t>
                  </w:r>
                  <w:r>
                    <w:rPr>
                      <w:rFonts w:hint="eastAsia"/>
                      <w:color w:val="auto"/>
                    </w:rPr>
                    <w:t>类标准</w:t>
                  </w:r>
                </w:p>
              </w:tc>
            </w:tr>
            <w:tr w14:paraId="283C601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43" w:type="pct"/>
                <w:trHeight w:val="288" w:hRule="atLeast"/>
                <w:jc w:val="center"/>
              </w:trPr>
              <w:tc>
                <w:tcPr>
                  <w:tcW w:w="343" w:type="pct"/>
                  <w:vAlign w:val="center"/>
                </w:tcPr>
                <w:p w14:paraId="5092ADF4">
                  <w:pPr>
                    <w:pStyle w:val="28"/>
                    <w:rPr>
                      <w:color w:val="auto"/>
                    </w:rPr>
                  </w:pPr>
                  <w:r>
                    <w:rPr>
                      <w:rFonts w:hint="eastAsia"/>
                      <w:color w:val="auto"/>
                    </w:rPr>
                    <w:t>地表水</w:t>
                  </w:r>
                </w:p>
              </w:tc>
              <w:tc>
                <w:tcPr>
                  <w:tcW w:w="375" w:type="pct"/>
                  <w:vAlign w:val="center"/>
                </w:tcPr>
                <w:p w14:paraId="5E02E392">
                  <w:pPr>
                    <w:pStyle w:val="28"/>
                    <w:rPr>
                      <w:rFonts w:hint="default" w:eastAsia="宋体"/>
                      <w:color w:val="auto"/>
                      <w:lang w:val="en-US" w:eastAsia="zh-CN"/>
                    </w:rPr>
                  </w:pPr>
                  <w:r>
                    <w:rPr>
                      <w:rFonts w:hint="eastAsia"/>
                      <w:color w:val="auto"/>
                      <w:lang w:val="en-US" w:eastAsia="zh-CN"/>
                    </w:rPr>
                    <w:t>湑水河</w:t>
                  </w:r>
                </w:p>
              </w:tc>
              <w:tc>
                <w:tcPr>
                  <w:tcW w:w="2497" w:type="pct"/>
                  <w:gridSpan w:val="8"/>
                  <w:vAlign w:val="center"/>
                </w:tcPr>
                <w:p w14:paraId="42DDCB61">
                  <w:pPr>
                    <w:pStyle w:val="28"/>
                    <w:rPr>
                      <w:rFonts w:hint="default" w:eastAsia="宋体"/>
                      <w:color w:val="auto"/>
                      <w:lang w:val="en-US" w:eastAsia="zh-CN"/>
                    </w:rPr>
                  </w:pPr>
                  <w:r>
                    <w:rPr>
                      <w:rFonts w:hint="eastAsia"/>
                      <w:color w:val="auto"/>
                      <w:lang w:val="en-US" w:eastAsia="zh-CN"/>
                    </w:rPr>
                    <w:t>湑水河老县城村段区域</w:t>
                  </w:r>
                </w:p>
              </w:tc>
              <w:tc>
                <w:tcPr>
                  <w:tcW w:w="1640" w:type="pct"/>
                  <w:gridSpan w:val="4"/>
                  <w:vAlign w:val="center"/>
                </w:tcPr>
                <w:p w14:paraId="1B1920BF">
                  <w:pPr>
                    <w:pStyle w:val="28"/>
                    <w:rPr>
                      <w:color w:val="auto"/>
                    </w:rPr>
                  </w:pPr>
                  <w:r>
                    <w:rPr>
                      <w:rFonts w:hint="eastAsia"/>
                      <w:color w:val="auto"/>
                    </w:rPr>
                    <w:t>《地表水环境质量标准》（GB3838-2002）中I类标准</w:t>
                  </w:r>
                </w:p>
              </w:tc>
            </w:tr>
            <w:tr w14:paraId="5017F3B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43" w:type="pct"/>
                <w:trHeight w:val="1171" w:hRule="atLeast"/>
                <w:jc w:val="center"/>
              </w:trPr>
              <w:tc>
                <w:tcPr>
                  <w:tcW w:w="343" w:type="pct"/>
                  <w:vMerge w:val="restart"/>
                  <w:vAlign w:val="center"/>
                </w:tcPr>
                <w:p w14:paraId="13E96010">
                  <w:pPr>
                    <w:pStyle w:val="28"/>
                    <w:rPr>
                      <w:color w:val="auto"/>
                    </w:rPr>
                  </w:pPr>
                  <w:r>
                    <w:rPr>
                      <w:color w:val="auto"/>
                    </w:rPr>
                    <w:t>生态</w:t>
                  </w:r>
                </w:p>
                <w:p w14:paraId="3A435C8E">
                  <w:pPr>
                    <w:pStyle w:val="28"/>
                    <w:rPr>
                      <w:color w:val="auto"/>
                    </w:rPr>
                  </w:pPr>
                  <w:r>
                    <w:rPr>
                      <w:rFonts w:hint="eastAsia"/>
                      <w:color w:val="auto"/>
                    </w:rPr>
                    <w:t>环境</w:t>
                  </w:r>
                </w:p>
              </w:tc>
              <w:tc>
                <w:tcPr>
                  <w:tcW w:w="2872" w:type="pct"/>
                  <w:gridSpan w:val="9"/>
                  <w:vAlign w:val="center"/>
                </w:tcPr>
                <w:p w14:paraId="74E9783E">
                  <w:pPr>
                    <w:pStyle w:val="28"/>
                    <w:rPr>
                      <w:color w:val="auto"/>
                      <w:kern w:val="0"/>
                    </w:rPr>
                  </w:pPr>
                  <w:r>
                    <w:rPr>
                      <w:rFonts w:hint="eastAsia"/>
                      <w:color w:val="auto"/>
                      <w:szCs w:val="21"/>
                    </w:rPr>
                    <w:t>项目建址附近水生生物、土壤、陆生动植物</w:t>
                  </w:r>
                </w:p>
              </w:tc>
              <w:tc>
                <w:tcPr>
                  <w:tcW w:w="1640" w:type="pct"/>
                  <w:gridSpan w:val="4"/>
                  <w:vMerge w:val="restart"/>
                  <w:vAlign w:val="center"/>
                </w:tcPr>
                <w:p w14:paraId="47F89F6B">
                  <w:pPr>
                    <w:pStyle w:val="28"/>
                    <w:jc w:val="both"/>
                    <w:rPr>
                      <w:color w:val="auto"/>
                    </w:rPr>
                  </w:pPr>
                  <w:r>
                    <w:rPr>
                      <w:rFonts w:hint="eastAsia"/>
                      <w:color w:val="auto"/>
                    </w:rPr>
                    <w:t>1、保护流域生态系统功能，维护生态平衡；</w:t>
                  </w:r>
                </w:p>
                <w:p w14:paraId="10670DED">
                  <w:pPr>
                    <w:pStyle w:val="28"/>
                    <w:jc w:val="both"/>
                    <w:rPr>
                      <w:color w:val="auto"/>
                    </w:rPr>
                  </w:pPr>
                  <w:r>
                    <w:rPr>
                      <w:rFonts w:hint="eastAsia"/>
                      <w:color w:val="auto"/>
                    </w:rPr>
                    <w:t>2、保护流域生物多样性；</w:t>
                  </w:r>
                </w:p>
                <w:p w14:paraId="00CE0355">
                  <w:pPr>
                    <w:pStyle w:val="28"/>
                    <w:jc w:val="both"/>
                    <w:rPr>
                      <w:color w:val="auto"/>
                    </w:rPr>
                  </w:pPr>
                  <w:r>
                    <w:rPr>
                      <w:rFonts w:hint="eastAsia"/>
                      <w:color w:val="auto"/>
                    </w:rPr>
                    <w:t>3、保护生态敏感区；</w:t>
                  </w:r>
                </w:p>
                <w:p w14:paraId="10B6E761">
                  <w:pPr>
                    <w:pStyle w:val="28"/>
                    <w:jc w:val="both"/>
                    <w:rPr>
                      <w:color w:val="auto"/>
                    </w:rPr>
                  </w:pPr>
                  <w:r>
                    <w:rPr>
                      <w:rFonts w:hint="eastAsia"/>
                      <w:color w:val="auto"/>
                    </w:rPr>
                    <w:t>4、规划区域的持续发展不影响现状生态环境。</w:t>
                  </w:r>
                </w:p>
              </w:tc>
            </w:tr>
            <w:tr w14:paraId="2EEDB71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43" w:type="pct"/>
                <w:trHeight w:val="1171" w:hRule="atLeast"/>
                <w:jc w:val="center"/>
              </w:trPr>
              <w:tc>
                <w:tcPr>
                  <w:tcW w:w="343" w:type="pct"/>
                  <w:vMerge w:val="continue"/>
                  <w:vAlign w:val="center"/>
                </w:tcPr>
                <w:p w14:paraId="63B2C7BC">
                  <w:pPr>
                    <w:pStyle w:val="28"/>
                    <w:rPr>
                      <w:color w:val="auto"/>
                    </w:rPr>
                  </w:pPr>
                </w:p>
              </w:tc>
              <w:tc>
                <w:tcPr>
                  <w:tcW w:w="2872" w:type="pct"/>
                  <w:gridSpan w:val="9"/>
                  <w:vAlign w:val="center"/>
                </w:tcPr>
                <w:p w14:paraId="10EA0AB6">
                  <w:pPr>
                    <w:pStyle w:val="28"/>
                    <w:rPr>
                      <w:rFonts w:hint="eastAsia" w:eastAsia="宋体"/>
                      <w:color w:val="auto"/>
                      <w:szCs w:val="21"/>
                      <w:lang w:eastAsia="zh-CN"/>
                    </w:rPr>
                  </w:pPr>
                  <w:r>
                    <w:rPr>
                      <w:rFonts w:hint="eastAsia"/>
                      <w:color w:val="auto"/>
                      <w:lang w:val="en-US" w:eastAsia="zh-CN"/>
                    </w:rPr>
                    <w:t>陕西省周至县老县城自然保护区</w:t>
                  </w:r>
                </w:p>
              </w:tc>
              <w:tc>
                <w:tcPr>
                  <w:tcW w:w="1640" w:type="pct"/>
                  <w:gridSpan w:val="4"/>
                  <w:vMerge w:val="continue"/>
                  <w:vAlign w:val="center"/>
                </w:tcPr>
                <w:p w14:paraId="109FFE83">
                  <w:pPr>
                    <w:pStyle w:val="28"/>
                    <w:jc w:val="both"/>
                    <w:rPr>
                      <w:color w:val="auto"/>
                    </w:rPr>
                  </w:pPr>
                </w:p>
              </w:tc>
            </w:tr>
          </w:tbl>
          <w:p w14:paraId="750133C4">
            <w:pPr>
              <w:pStyle w:val="37"/>
              <w:ind w:firstLine="480"/>
              <w:rPr>
                <w:color w:val="auto"/>
              </w:rPr>
            </w:pPr>
          </w:p>
        </w:tc>
      </w:tr>
      <w:tr w14:paraId="73279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4D60253D">
            <w:pPr>
              <w:pStyle w:val="37"/>
              <w:ind w:firstLine="0" w:firstLineChars="0"/>
              <w:jc w:val="center"/>
              <w:rPr>
                <w:color w:val="auto"/>
              </w:rPr>
            </w:pPr>
            <w:r>
              <w:rPr>
                <w:rFonts w:hint="eastAsia"/>
                <w:color w:val="auto"/>
              </w:rPr>
              <w:t>评价</w:t>
            </w:r>
          </w:p>
          <w:p w14:paraId="241F7473">
            <w:pPr>
              <w:pStyle w:val="37"/>
              <w:ind w:firstLine="0" w:firstLineChars="0"/>
              <w:jc w:val="center"/>
              <w:rPr>
                <w:color w:val="auto"/>
              </w:rPr>
            </w:pPr>
            <w:r>
              <w:rPr>
                <w:rFonts w:hint="eastAsia"/>
                <w:color w:val="auto"/>
              </w:rPr>
              <w:t>标准</w:t>
            </w:r>
          </w:p>
        </w:tc>
        <w:tc>
          <w:tcPr>
            <w:tcW w:w="8216" w:type="dxa"/>
            <w:vAlign w:val="center"/>
          </w:tcPr>
          <w:p w14:paraId="3D5CE34A">
            <w:pPr>
              <w:pStyle w:val="37"/>
              <w:ind w:firstLine="482"/>
              <w:rPr>
                <w:b/>
                <w:bCs/>
                <w:color w:val="auto"/>
              </w:rPr>
            </w:pPr>
            <w:r>
              <w:rPr>
                <w:rFonts w:hint="eastAsia"/>
                <w:b/>
                <w:bCs/>
                <w:color w:val="auto"/>
              </w:rPr>
              <w:t>1、环境质量标准</w:t>
            </w:r>
          </w:p>
          <w:p w14:paraId="66D2453D">
            <w:pPr>
              <w:pStyle w:val="37"/>
              <w:ind w:firstLine="480"/>
              <w:rPr>
                <w:color w:val="auto"/>
              </w:rPr>
            </w:pPr>
            <w:r>
              <w:rPr>
                <w:rFonts w:hint="eastAsia"/>
                <w:color w:val="auto"/>
              </w:rPr>
              <w:t>（1）环境空气执行《环境空气质量标准》（GB3095-2012）中</w:t>
            </w:r>
            <w:r>
              <w:rPr>
                <w:rFonts w:hint="eastAsia"/>
                <w:color w:val="auto"/>
                <w:lang w:val="en-US" w:eastAsia="zh-CN"/>
              </w:rPr>
              <w:t>的一</w:t>
            </w:r>
            <w:r>
              <w:rPr>
                <w:rFonts w:hint="eastAsia"/>
                <w:color w:val="auto"/>
              </w:rPr>
              <w:t>级标准；</w:t>
            </w:r>
          </w:p>
          <w:p w14:paraId="7417D596">
            <w:pPr>
              <w:pStyle w:val="37"/>
              <w:ind w:firstLine="480"/>
              <w:rPr>
                <w:color w:val="auto"/>
              </w:rPr>
            </w:pPr>
            <w:r>
              <w:rPr>
                <w:rFonts w:hint="eastAsia"/>
                <w:color w:val="auto"/>
              </w:rPr>
              <w:t>（2）声环境执行《声环境质量标准》（GB3096-2008）中的</w:t>
            </w:r>
            <w:r>
              <w:rPr>
                <w:rFonts w:hint="eastAsia"/>
                <w:color w:val="auto"/>
                <w:lang w:val="en-US" w:eastAsia="zh-CN"/>
              </w:rPr>
              <w:t>1</w:t>
            </w:r>
            <w:r>
              <w:rPr>
                <w:rFonts w:hint="eastAsia"/>
                <w:color w:val="auto"/>
              </w:rPr>
              <w:t>类标准；</w:t>
            </w:r>
          </w:p>
          <w:p w14:paraId="276A2197">
            <w:pPr>
              <w:pStyle w:val="37"/>
              <w:ind w:firstLine="480"/>
              <w:rPr>
                <w:color w:val="auto"/>
              </w:rPr>
            </w:pPr>
            <w:r>
              <w:rPr>
                <w:rFonts w:hint="eastAsia"/>
                <w:color w:val="auto"/>
              </w:rPr>
              <w:t>（3）地表水环境执行《地表水环境质量标准》（GB3838-2002）中的I类标准。</w:t>
            </w:r>
          </w:p>
          <w:p w14:paraId="76ACB602">
            <w:pPr>
              <w:pStyle w:val="37"/>
              <w:ind w:firstLine="480"/>
              <w:rPr>
                <w:color w:val="auto"/>
              </w:rPr>
            </w:pPr>
            <w:r>
              <w:rPr>
                <w:rFonts w:hint="eastAsia"/>
                <w:color w:val="auto"/>
              </w:rPr>
              <w:t>汇总见下表</w:t>
            </w:r>
            <w:r>
              <w:rPr>
                <w:rFonts w:hint="eastAsia"/>
                <w:color w:val="auto"/>
                <w:lang w:val="en-US" w:eastAsia="zh-CN"/>
              </w:rPr>
              <w:t>11</w:t>
            </w:r>
            <w:r>
              <w:rPr>
                <w:rFonts w:hint="eastAsia"/>
                <w:color w:val="auto"/>
              </w:rPr>
              <w:t>。</w:t>
            </w:r>
          </w:p>
          <w:p w14:paraId="7E51F5A4">
            <w:pPr>
              <w:pStyle w:val="35"/>
              <w:rPr>
                <w:color w:val="auto"/>
              </w:rPr>
            </w:pPr>
            <w:r>
              <w:rPr>
                <w:rFonts w:hint="eastAsia"/>
                <w:color w:val="auto"/>
              </w:rPr>
              <w:t>表</w:t>
            </w:r>
            <w:r>
              <w:rPr>
                <w:rFonts w:hint="eastAsia"/>
                <w:color w:val="auto"/>
                <w:lang w:val="en-US" w:eastAsia="zh-CN"/>
              </w:rPr>
              <w:t xml:space="preserve">11   </w:t>
            </w:r>
            <w:r>
              <w:rPr>
                <w:rFonts w:hint="eastAsia"/>
                <w:color w:val="auto"/>
              </w:rPr>
              <w:t>项目所在区域执行的环境质量标准明细表</w:t>
            </w:r>
          </w:p>
          <w:tbl>
            <w:tblPr>
              <w:tblStyle w:val="18"/>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55"/>
              <w:gridCol w:w="2027"/>
              <w:gridCol w:w="1134"/>
              <w:gridCol w:w="1848"/>
              <w:gridCol w:w="1033"/>
              <w:gridCol w:w="1397"/>
            </w:tblGrid>
            <w:tr w14:paraId="20BCCF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restart"/>
                  <w:vAlign w:val="center"/>
                </w:tcPr>
                <w:p w14:paraId="5A1E381C">
                  <w:pPr>
                    <w:pStyle w:val="28"/>
                    <w:rPr>
                      <w:b/>
                      <w:bCs/>
                      <w:color w:val="auto"/>
                    </w:rPr>
                  </w:pPr>
                  <w:r>
                    <w:rPr>
                      <w:b/>
                      <w:bCs/>
                      <w:color w:val="auto"/>
                    </w:rPr>
                    <w:t>类别</w:t>
                  </w:r>
                </w:p>
              </w:tc>
              <w:tc>
                <w:tcPr>
                  <w:tcW w:w="1267" w:type="pct"/>
                  <w:vMerge w:val="restart"/>
                  <w:vAlign w:val="center"/>
                </w:tcPr>
                <w:p w14:paraId="30CA871D">
                  <w:pPr>
                    <w:pStyle w:val="28"/>
                    <w:rPr>
                      <w:b/>
                      <w:bCs/>
                      <w:color w:val="auto"/>
                    </w:rPr>
                  </w:pPr>
                  <w:r>
                    <w:rPr>
                      <w:b/>
                      <w:bCs/>
                      <w:color w:val="auto"/>
                    </w:rPr>
                    <w:t>标准名称及</w:t>
                  </w:r>
                </w:p>
                <w:p w14:paraId="159A648D">
                  <w:pPr>
                    <w:pStyle w:val="28"/>
                    <w:rPr>
                      <w:b/>
                      <w:bCs/>
                      <w:color w:val="auto"/>
                    </w:rPr>
                  </w:pPr>
                  <w:r>
                    <w:rPr>
                      <w:b/>
                      <w:bCs/>
                      <w:color w:val="auto"/>
                    </w:rPr>
                    <w:t>级（类）别</w:t>
                  </w:r>
                </w:p>
              </w:tc>
              <w:tc>
                <w:tcPr>
                  <w:tcW w:w="709" w:type="pct"/>
                  <w:vMerge w:val="restart"/>
                  <w:vAlign w:val="center"/>
                </w:tcPr>
                <w:p w14:paraId="242F7013">
                  <w:pPr>
                    <w:pStyle w:val="28"/>
                    <w:rPr>
                      <w:b/>
                      <w:bCs/>
                      <w:color w:val="auto"/>
                    </w:rPr>
                  </w:pPr>
                  <w:r>
                    <w:rPr>
                      <w:b/>
                      <w:bCs/>
                      <w:color w:val="auto"/>
                    </w:rPr>
                    <w:t>环境因子</w:t>
                  </w:r>
                </w:p>
              </w:tc>
              <w:tc>
                <w:tcPr>
                  <w:tcW w:w="2674" w:type="pct"/>
                  <w:gridSpan w:val="3"/>
                  <w:vAlign w:val="center"/>
                </w:tcPr>
                <w:p w14:paraId="768900B0">
                  <w:pPr>
                    <w:pStyle w:val="28"/>
                    <w:rPr>
                      <w:b/>
                      <w:bCs/>
                      <w:color w:val="auto"/>
                    </w:rPr>
                  </w:pPr>
                  <w:r>
                    <w:rPr>
                      <w:b/>
                      <w:bCs/>
                      <w:color w:val="auto"/>
                    </w:rPr>
                    <w:t>标准值</w:t>
                  </w:r>
                </w:p>
              </w:tc>
            </w:tr>
            <w:tr w14:paraId="0116B7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3A4641AA">
                  <w:pPr>
                    <w:pStyle w:val="28"/>
                    <w:rPr>
                      <w:b/>
                      <w:bCs/>
                      <w:color w:val="auto"/>
                    </w:rPr>
                  </w:pPr>
                </w:p>
              </w:tc>
              <w:tc>
                <w:tcPr>
                  <w:tcW w:w="1267" w:type="pct"/>
                  <w:vMerge w:val="continue"/>
                  <w:vAlign w:val="center"/>
                </w:tcPr>
                <w:p w14:paraId="7C37CB75">
                  <w:pPr>
                    <w:pStyle w:val="28"/>
                    <w:rPr>
                      <w:b/>
                      <w:bCs/>
                      <w:color w:val="auto"/>
                    </w:rPr>
                  </w:pPr>
                </w:p>
              </w:tc>
              <w:tc>
                <w:tcPr>
                  <w:tcW w:w="709" w:type="pct"/>
                  <w:vMerge w:val="continue"/>
                  <w:vAlign w:val="center"/>
                </w:tcPr>
                <w:p w14:paraId="249B7CD1">
                  <w:pPr>
                    <w:pStyle w:val="28"/>
                    <w:rPr>
                      <w:b/>
                      <w:bCs/>
                      <w:color w:val="auto"/>
                    </w:rPr>
                  </w:pPr>
                </w:p>
              </w:tc>
              <w:tc>
                <w:tcPr>
                  <w:tcW w:w="1801" w:type="pct"/>
                  <w:gridSpan w:val="2"/>
                  <w:vAlign w:val="center"/>
                </w:tcPr>
                <w:p w14:paraId="6C244704">
                  <w:pPr>
                    <w:pStyle w:val="28"/>
                    <w:rPr>
                      <w:b/>
                      <w:bCs/>
                      <w:color w:val="auto"/>
                    </w:rPr>
                  </w:pPr>
                  <w:r>
                    <w:rPr>
                      <w:b/>
                      <w:bCs/>
                      <w:color w:val="auto"/>
                    </w:rPr>
                    <w:t>单位</w:t>
                  </w:r>
                </w:p>
              </w:tc>
              <w:tc>
                <w:tcPr>
                  <w:tcW w:w="873" w:type="pct"/>
                  <w:vAlign w:val="center"/>
                </w:tcPr>
                <w:p w14:paraId="16B95E1B">
                  <w:pPr>
                    <w:pStyle w:val="28"/>
                    <w:rPr>
                      <w:b/>
                      <w:bCs/>
                      <w:color w:val="auto"/>
                    </w:rPr>
                  </w:pPr>
                  <w:r>
                    <w:rPr>
                      <w:b/>
                      <w:bCs/>
                      <w:color w:val="auto"/>
                    </w:rPr>
                    <w:t>数值</w:t>
                  </w:r>
                </w:p>
              </w:tc>
            </w:tr>
            <w:tr w14:paraId="537AC4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restart"/>
                  <w:vAlign w:val="center"/>
                </w:tcPr>
                <w:p w14:paraId="512F703E">
                  <w:pPr>
                    <w:pStyle w:val="28"/>
                    <w:rPr>
                      <w:color w:val="auto"/>
                    </w:rPr>
                  </w:pPr>
                  <w:r>
                    <w:rPr>
                      <w:color w:val="auto"/>
                    </w:rPr>
                    <w:t>环</w:t>
                  </w:r>
                </w:p>
                <w:p w14:paraId="7FED28FD">
                  <w:pPr>
                    <w:pStyle w:val="28"/>
                    <w:rPr>
                      <w:color w:val="auto"/>
                    </w:rPr>
                  </w:pPr>
                  <w:r>
                    <w:rPr>
                      <w:color w:val="auto"/>
                    </w:rPr>
                    <w:t>境</w:t>
                  </w:r>
                </w:p>
                <w:p w14:paraId="1D14B928">
                  <w:pPr>
                    <w:pStyle w:val="28"/>
                    <w:rPr>
                      <w:color w:val="auto"/>
                    </w:rPr>
                  </w:pPr>
                  <w:r>
                    <w:rPr>
                      <w:color w:val="auto"/>
                    </w:rPr>
                    <w:t>空</w:t>
                  </w:r>
                </w:p>
                <w:p w14:paraId="3404EEDB">
                  <w:pPr>
                    <w:pStyle w:val="28"/>
                    <w:rPr>
                      <w:color w:val="auto"/>
                    </w:rPr>
                  </w:pPr>
                  <w:r>
                    <w:rPr>
                      <w:color w:val="auto"/>
                    </w:rPr>
                    <w:t>气</w:t>
                  </w:r>
                </w:p>
              </w:tc>
              <w:tc>
                <w:tcPr>
                  <w:tcW w:w="1267" w:type="pct"/>
                  <w:vMerge w:val="restart"/>
                  <w:vAlign w:val="center"/>
                </w:tcPr>
                <w:p w14:paraId="655AD8F5">
                  <w:pPr>
                    <w:pStyle w:val="28"/>
                    <w:rPr>
                      <w:color w:val="auto"/>
                    </w:rPr>
                  </w:pPr>
                  <w:r>
                    <w:rPr>
                      <w:color w:val="auto"/>
                    </w:rPr>
                    <w:t>《环境空气质量标准》（GB3095-2012）中</w:t>
                  </w:r>
                  <w:r>
                    <w:rPr>
                      <w:rFonts w:hint="eastAsia"/>
                      <w:color w:val="auto"/>
                      <w:lang w:val="en-US" w:eastAsia="zh-CN"/>
                    </w:rPr>
                    <w:t>一</w:t>
                  </w:r>
                  <w:r>
                    <w:rPr>
                      <w:color w:val="auto"/>
                    </w:rPr>
                    <w:t>级标准</w:t>
                  </w:r>
                </w:p>
              </w:tc>
              <w:tc>
                <w:tcPr>
                  <w:tcW w:w="709" w:type="pct"/>
                  <w:vMerge w:val="restart"/>
                  <w:vAlign w:val="center"/>
                </w:tcPr>
                <w:p w14:paraId="29A48FD5">
                  <w:pPr>
                    <w:pStyle w:val="28"/>
                    <w:rPr>
                      <w:color w:val="auto"/>
                    </w:rPr>
                  </w:pPr>
                  <w:r>
                    <w:rPr>
                      <w:color w:val="auto"/>
                    </w:rPr>
                    <w:t>SO</w:t>
                  </w:r>
                  <w:r>
                    <w:rPr>
                      <w:color w:val="auto"/>
                      <w:vertAlign w:val="subscript"/>
                    </w:rPr>
                    <w:t>2</w:t>
                  </w:r>
                </w:p>
              </w:tc>
              <w:tc>
                <w:tcPr>
                  <w:tcW w:w="1155" w:type="pct"/>
                  <w:vAlign w:val="center"/>
                </w:tcPr>
                <w:p w14:paraId="1ECB7892">
                  <w:pPr>
                    <w:pStyle w:val="28"/>
                    <w:rPr>
                      <w:color w:val="auto"/>
                    </w:rPr>
                  </w:pPr>
                  <w:r>
                    <w:rPr>
                      <w:color w:val="auto"/>
                    </w:rPr>
                    <w:t>年平均</w:t>
                  </w:r>
                </w:p>
              </w:tc>
              <w:tc>
                <w:tcPr>
                  <w:tcW w:w="646" w:type="pct"/>
                  <w:vAlign w:val="center"/>
                </w:tcPr>
                <w:p w14:paraId="38C2CB38">
                  <w:pPr>
                    <w:pStyle w:val="28"/>
                    <w:rPr>
                      <w:color w:val="auto"/>
                    </w:rPr>
                  </w:pPr>
                  <w:r>
                    <w:rPr>
                      <w:color w:val="auto"/>
                    </w:rPr>
                    <w:t>µg/m</w:t>
                  </w:r>
                  <w:r>
                    <w:rPr>
                      <w:color w:val="auto"/>
                      <w:vertAlign w:val="superscript"/>
                    </w:rPr>
                    <w:t>3</w:t>
                  </w:r>
                </w:p>
              </w:tc>
              <w:tc>
                <w:tcPr>
                  <w:tcW w:w="873" w:type="pct"/>
                  <w:vAlign w:val="center"/>
                </w:tcPr>
                <w:p w14:paraId="308C8731">
                  <w:pPr>
                    <w:pStyle w:val="28"/>
                    <w:rPr>
                      <w:rFonts w:hint="default" w:eastAsia="宋体"/>
                      <w:color w:val="auto"/>
                      <w:lang w:val="en-US" w:eastAsia="zh-CN"/>
                    </w:rPr>
                  </w:pPr>
                  <w:r>
                    <w:rPr>
                      <w:rFonts w:hint="eastAsia"/>
                      <w:color w:val="auto"/>
                      <w:lang w:val="en-US" w:eastAsia="zh-CN"/>
                    </w:rPr>
                    <w:t>20</w:t>
                  </w:r>
                </w:p>
              </w:tc>
            </w:tr>
            <w:tr w14:paraId="324740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68877709">
                  <w:pPr>
                    <w:pStyle w:val="28"/>
                    <w:rPr>
                      <w:color w:val="auto"/>
                    </w:rPr>
                  </w:pPr>
                </w:p>
              </w:tc>
              <w:tc>
                <w:tcPr>
                  <w:tcW w:w="1267" w:type="pct"/>
                  <w:vMerge w:val="continue"/>
                  <w:vAlign w:val="center"/>
                </w:tcPr>
                <w:p w14:paraId="4E722DD9">
                  <w:pPr>
                    <w:pStyle w:val="28"/>
                    <w:rPr>
                      <w:color w:val="auto"/>
                    </w:rPr>
                  </w:pPr>
                </w:p>
              </w:tc>
              <w:tc>
                <w:tcPr>
                  <w:tcW w:w="709" w:type="pct"/>
                  <w:vMerge w:val="continue"/>
                  <w:vAlign w:val="center"/>
                </w:tcPr>
                <w:p w14:paraId="47D19E43">
                  <w:pPr>
                    <w:pStyle w:val="28"/>
                    <w:rPr>
                      <w:color w:val="auto"/>
                    </w:rPr>
                  </w:pPr>
                </w:p>
              </w:tc>
              <w:tc>
                <w:tcPr>
                  <w:tcW w:w="1155" w:type="pct"/>
                  <w:vAlign w:val="center"/>
                </w:tcPr>
                <w:p w14:paraId="74A9CFD7">
                  <w:pPr>
                    <w:pStyle w:val="28"/>
                    <w:rPr>
                      <w:color w:val="auto"/>
                    </w:rPr>
                  </w:pPr>
                  <w:r>
                    <w:rPr>
                      <w:color w:val="auto"/>
                    </w:rPr>
                    <w:t>24小时平均</w:t>
                  </w:r>
                </w:p>
              </w:tc>
              <w:tc>
                <w:tcPr>
                  <w:tcW w:w="646" w:type="pct"/>
                  <w:vAlign w:val="center"/>
                </w:tcPr>
                <w:p w14:paraId="4B4DC133">
                  <w:pPr>
                    <w:pStyle w:val="28"/>
                    <w:rPr>
                      <w:color w:val="auto"/>
                    </w:rPr>
                  </w:pPr>
                  <w:r>
                    <w:rPr>
                      <w:color w:val="auto"/>
                    </w:rPr>
                    <w:t>µg/m</w:t>
                  </w:r>
                  <w:r>
                    <w:rPr>
                      <w:color w:val="auto"/>
                      <w:vertAlign w:val="superscript"/>
                    </w:rPr>
                    <w:t>3</w:t>
                  </w:r>
                </w:p>
              </w:tc>
              <w:tc>
                <w:tcPr>
                  <w:tcW w:w="873" w:type="pct"/>
                  <w:vAlign w:val="center"/>
                </w:tcPr>
                <w:p w14:paraId="0849E0DA">
                  <w:pPr>
                    <w:pStyle w:val="28"/>
                    <w:rPr>
                      <w:rFonts w:hint="default" w:eastAsia="宋体"/>
                      <w:color w:val="auto"/>
                      <w:lang w:val="en-US" w:eastAsia="zh-CN"/>
                    </w:rPr>
                  </w:pPr>
                  <w:r>
                    <w:rPr>
                      <w:rFonts w:hint="eastAsia"/>
                      <w:color w:val="auto"/>
                      <w:lang w:val="en-US" w:eastAsia="zh-CN"/>
                    </w:rPr>
                    <w:t>50</w:t>
                  </w:r>
                </w:p>
              </w:tc>
            </w:tr>
            <w:tr w14:paraId="2D1E9D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B70A333">
                  <w:pPr>
                    <w:pStyle w:val="28"/>
                    <w:rPr>
                      <w:color w:val="auto"/>
                    </w:rPr>
                  </w:pPr>
                </w:p>
              </w:tc>
              <w:tc>
                <w:tcPr>
                  <w:tcW w:w="1267" w:type="pct"/>
                  <w:vMerge w:val="continue"/>
                  <w:vAlign w:val="center"/>
                </w:tcPr>
                <w:p w14:paraId="63818251">
                  <w:pPr>
                    <w:pStyle w:val="28"/>
                    <w:rPr>
                      <w:color w:val="auto"/>
                    </w:rPr>
                  </w:pPr>
                </w:p>
              </w:tc>
              <w:tc>
                <w:tcPr>
                  <w:tcW w:w="709" w:type="pct"/>
                  <w:vMerge w:val="continue"/>
                  <w:vAlign w:val="center"/>
                </w:tcPr>
                <w:p w14:paraId="2DBCBAB8">
                  <w:pPr>
                    <w:pStyle w:val="28"/>
                    <w:rPr>
                      <w:color w:val="auto"/>
                    </w:rPr>
                  </w:pPr>
                </w:p>
              </w:tc>
              <w:tc>
                <w:tcPr>
                  <w:tcW w:w="1155" w:type="pct"/>
                  <w:vAlign w:val="center"/>
                </w:tcPr>
                <w:p w14:paraId="0285964E">
                  <w:pPr>
                    <w:pStyle w:val="28"/>
                    <w:rPr>
                      <w:color w:val="auto"/>
                    </w:rPr>
                  </w:pPr>
                  <w:r>
                    <w:rPr>
                      <w:color w:val="auto"/>
                    </w:rPr>
                    <w:t>1小时平均</w:t>
                  </w:r>
                </w:p>
              </w:tc>
              <w:tc>
                <w:tcPr>
                  <w:tcW w:w="646" w:type="pct"/>
                  <w:vAlign w:val="center"/>
                </w:tcPr>
                <w:p w14:paraId="26D763BC">
                  <w:pPr>
                    <w:pStyle w:val="28"/>
                    <w:rPr>
                      <w:color w:val="auto"/>
                    </w:rPr>
                  </w:pPr>
                  <w:r>
                    <w:rPr>
                      <w:color w:val="auto"/>
                    </w:rPr>
                    <w:t>µg/m</w:t>
                  </w:r>
                  <w:r>
                    <w:rPr>
                      <w:color w:val="auto"/>
                      <w:vertAlign w:val="superscript"/>
                    </w:rPr>
                    <w:t>3</w:t>
                  </w:r>
                </w:p>
              </w:tc>
              <w:tc>
                <w:tcPr>
                  <w:tcW w:w="873" w:type="pct"/>
                  <w:vAlign w:val="center"/>
                </w:tcPr>
                <w:p w14:paraId="7A9185E1">
                  <w:pPr>
                    <w:pStyle w:val="28"/>
                    <w:rPr>
                      <w:rFonts w:hint="default" w:eastAsia="宋体"/>
                      <w:color w:val="auto"/>
                      <w:lang w:val="en-US" w:eastAsia="zh-CN"/>
                    </w:rPr>
                  </w:pPr>
                  <w:r>
                    <w:rPr>
                      <w:rFonts w:hint="eastAsia"/>
                      <w:color w:val="auto"/>
                      <w:lang w:val="en-US" w:eastAsia="zh-CN"/>
                    </w:rPr>
                    <w:t>150</w:t>
                  </w:r>
                </w:p>
              </w:tc>
            </w:tr>
            <w:tr w14:paraId="05F15F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2E668FA8">
                  <w:pPr>
                    <w:pStyle w:val="28"/>
                    <w:rPr>
                      <w:color w:val="auto"/>
                    </w:rPr>
                  </w:pPr>
                </w:p>
              </w:tc>
              <w:tc>
                <w:tcPr>
                  <w:tcW w:w="1267" w:type="pct"/>
                  <w:vMerge w:val="continue"/>
                  <w:vAlign w:val="center"/>
                </w:tcPr>
                <w:p w14:paraId="17C70AAB">
                  <w:pPr>
                    <w:pStyle w:val="28"/>
                    <w:rPr>
                      <w:color w:val="auto"/>
                    </w:rPr>
                  </w:pPr>
                </w:p>
              </w:tc>
              <w:tc>
                <w:tcPr>
                  <w:tcW w:w="709" w:type="pct"/>
                  <w:vMerge w:val="restart"/>
                  <w:vAlign w:val="center"/>
                </w:tcPr>
                <w:p w14:paraId="03CBB6A2">
                  <w:pPr>
                    <w:pStyle w:val="28"/>
                    <w:rPr>
                      <w:color w:val="auto"/>
                    </w:rPr>
                  </w:pPr>
                  <w:r>
                    <w:rPr>
                      <w:color w:val="auto"/>
                    </w:rPr>
                    <w:t>NO</w:t>
                  </w:r>
                  <w:r>
                    <w:rPr>
                      <w:color w:val="auto"/>
                      <w:vertAlign w:val="subscript"/>
                    </w:rPr>
                    <w:t>2</w:t>
                  </w:r>
                </w:p>
              </w:tc>
              <w:tc>
                <w:tcPr>
                  <w:tcW w:w="1155" w:type="pct"/>
                  <w:vAlign w:val="center"/>
                </w:tcPr>
                <w:p w14:paraId="686478E7">
                  <w:pPr>
                    <w:pStyle w:val="28"/>
                    <w:rPr>
                      <w:color w:val="auto"/>
                    </w:rPr>
                  </w:pPr>
                  <w:r>
                    <w:rPr>
                      <w:color w:val="auto"/>
                    </w:rPr>
                    <w:t>年平均</w:t>
                  </w:r>
                </w:p>
              </w:tc>
              <w:tc>
                <w:tcPr>
                  <w:tcW w:w="646" w:type="pct"/>
                  <w:vAlign w:val="center"/>
                </w:tcPr>
                <w:p w14:paraId="6A8BBF03">
                  <w:pPr>
                    <w:pStyle w:val="28"/>
                    <w:rPr>
                      <w:color w:val="auto"/>
                    </w:rPr>
                  </w:pPr>
                  <w:r>
                    <w:rPr>
                      <w:color w:val="auto"/>
                    </w:rPr>
                    <w:t>µg/m</w:t>
                  </w:r>
                  <w:r>
                    <w:rPr>
                      <w:color w:val="auto"/>
                      <w:vertAlign w:val="superscript"/>
                    </w:rPr>
                    <w:t>3</w:t>
                  </w:r>
                </w:p>
              </w:tc>
              <w:tc>
                <w:tcPr>
                  <w:tcW w:w="873" w:type="pct"/>
                  <w:vAlign w:val="center"/>
                </w:tcPr>
                <w:p w14:paraId="7607D05F">
                  <w:pPr>
                    <w:pStyle w:val="28"/>
                    <w:rPr>
                      <w:rFonts w:hint="default" w:eastAsia="宋体"/>
                      <w:color w:val="auto"/>
                      <w:lang w:val="en-US" w:eastAsia="zh-CN"/>
                    </w:rPr>
                  </w:pPr>
                  <w:r>
                    <w:rPr>
                      <w:rFonts w:hint="eastAsia"/>
                      <w:color w:val="auto"/>
                      <w:lang w:val="en-US" w:eastAsia="zh-CN"/>
                    </w:rPr>
                    <w:t>40</w:t>
                  </w:r>
                </w:p>
              </w:tc>
            </w:tr>
            <w:tr w14:paraId="0D5E1A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346A42C8">
                  <w:pPr>
                    <w:pStyle w:val="28"/>
                    <w:rPr>
                      <w:color w:val="auto"/>
                    </w:rPr>
                  </w:pPr>
                </w:p>
              </w:tc>
              <w:tc>
                <w:tcPr>
                  <w:tcW w:w="1267" w:type="pct"/>
                  <w:vMerge w:val="continue"/>
                  <w:vAlign w:val="center"/>
                </w:tcPr>
                <w:p w14:paraId="37F285BF">
                  <w:pPr>
                    <w:pStyle w:val="28"/>
                    <w:rPr>
                      <w:color w:val="auto"/>
                    </w:rPr>
                  </w:pPr>
                </w:p>
              </w:tc>
              <w:tc>
                <w:tcPr>
                  <w:tcW w:w="709" w:type="pct"/>
                  <w:vMerge w:val="continue"/>
                  <w:vAlign w:val="center"/>
                </w:tcPr>
                <w:p w14:paraId="07931E23">
                  <w:pPr>
                    <w:pStyle w:val="28"/>
                    <w:rPr>
                      <w:color w:val="auto"/>
                    </w:rPr>
                  </w:pPr>
                </w:p>
              </w:tc>
              <w:tc>
                <w:tcPr>
                  <w:tcW w:w="1155" w:type="pct"/>
                  <w:vAlign w:val="center"/>
                </w:tcPr>
                <w:p w14:paraId="0668923D">
                  <w:pPr>
                    <w:pStyle w:val="28"/>
                    <w:rPr>
                      <w:color w:val="auto"/>
                    </w:rPr>
                  </w:pPr>
                  <w:r>
                    <w:rPr>
                      <w:color w:val="auto"/>
                    </w:rPr>
                    <w:t>24小时平均</w:t>
                  </w:r>
                </w:p>
              </w:tc>
              <w:tc>
                <w:tcPr>
                  <w:tcW w:w="646" w:type="pct"/>
                  <w:vAlign w:val="center"/>
                </w:tcPr>
                <w:p w14:paraId="36C514AD">
                  <w:pPr>
                    <w:pStyle w:val="28"/>
                    <w:rPr>
                      <w:color w:val="auto"/>
                    </w:rPr>
                  </w:pPr>
                  <w:r>
                    <w:rPr>
                      <w:color w:val="auto"/>
                    </w:rPr>
                    <w:t>µg/m</w:t>
                  </w:r>
                  <w:r>
                    <w:rPr>
                      <w:color w:val="auto"/>
                      <w:vertAlign w:val="superscript"/>
                    </w:rPr>
                    <w:t>3</w:t>
                  </w:r>
                </w:p>
              </w:tc>
              <w:tc>
                <w:tcPr>
                  <w:tcW w:w="873" w:type="pct"/>
                  <w:vAlign w:val="center"/>
                </w:tcPr>
                <w:p w14:paraId="74591DFB">
                  <w:pPr>
                    <w:pStyle w:val="28"/>
                    <w:rPr>
                      <w:rFonts w:hint="default" w:eastAsia="宋体"/>
                      <w:color w:val="auto"/>
                      <w:lang w:val="en-US" w:eastAsia="zh-CN"/>
                    </w:rPr>
                  </w:pPr>
                  <w:r>
                    <w:rPr>
                      <w:rFonts w:hint="eastAsia"/>
                      <w:color w:val="auto"/>
                      <w:lang w:val="en-US" w:eastAsia="zh-CN"/>
                    </w:rPr>
                    <w:t>80</w:t>
                  </w:r>
                </w:p>
              </w:tc>
            </w:tr>
            <w:tr w14:paraId="77C9449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F49FAD7">
                  <w:pPr>
                    <w:pStyle w:val="28"/>
                    <w:rPr>
                      <w:color w:val="auto"/>
                    </w:rPr>
                  </w:pPr>
                </w:p>
              </w:tc>
              <w:tc>
                <w:tcPr>
                  <w:tcW w:w="1267" w:type="pct"/>
                  <w:vMerge w:val="continue"/>
                  <w:vAlign w:val="center"/>
                </w:tcPr>
                <w:p w14:paraId="37CADE6C">
                  <w:pPr>
                    <w:pStyle w:val="28"/>
                    <w:rPr>
                      <w:color w:val="auto"/>
                    </w:rPr>
                  </w:pPr>
                </w:p>
              </w:tc>
              <w:tc>
                <w:tcPr>
                  <w:tcW w:w="709" w:type="pct"/>
                  <w:vMerge w:val="continue"/>
                  <w:vAlign w:val="center"/>
                </w:tcPr>
                <w:p w14:paraId="67ED4729">
                  <w:pPr>
                    <w:pStyle w:val="28"/>
                    <w:rPr>
                      <w:color w:val="auto"/>
                    </w:rPr>
                  </w:pPr>
                </w:p>
              </w:tc>
              <w:tc>
                <w:tcPr>
                  <w:tcW w:w="1155" w:type="pct"/>
                  <w:vAlign w:val="center"/>
                </w:tcPr>
                <w:p w14:paraId="7541A964">
                  <w:pPr>
                    <w:pStyle w:val="28"/>
                    <w:rPr>
                      <w:color w:val="auto"/>
                    </w:rPr>
                  </w:pPr>
                  <w:r>
                    <w:rPr>
                      <w:color w:val="auto"/>
                    </w:rPr>
                    <w:t>1小时平均</w:t>
                  </w:r>
                </w:p>
              </w:tc>
              <w:tc>
                <w:tcPr>
                  <w:tcW w:w="646" w:type="pct"/>
                  <w:vAlign w:val="center"/>
                </w:tcPr>
                <w:p w14:paraId="2D84B737">
                  <w:pPr>
                    <w:pStyle w:val="28"/>
                    <w:rPr>
                      <w:color w:val="auto"/>
                    </w:rPr>
                  </w:pPr>
                  <w:r>
                    <w:rPr>
                      <w:color w:val="auto"/>
                    </w:rPr>
                    <w:t>µg/m</w:t>
                  </w:r>
                  <w:r>
                    <w:rPr>
                      <w:color w:val="auto"/>
                      <w:vertAlign w:val="superscript"/>
                    </w:rPr>
                    <w:t>3</w:t>
                  </w:r>
                </w:p>
              </w:tc>
              <w:tc>
                <w:tcPr>
                  <w:tcW w:w="873" w:type="pct"/>
                  <w:vAlign w:val="center"/>
                </w:tcPr>
                <w:p w14:paraId="7577FCBF">
                  <w:pPr>
                    <w:pStyle w:val="28"/>
                    <w:rPr>
                      <w:rFonts w:hint="default" w:eastAsia="宋体"/>
                      <w:color w:val="auto"/>
                      <w:lang w:val="en-US" w:eastAsia="zh-CN"/>
                    </w:rPr>
                  </w:pPr>
                  <w:r>
                    <w:rPr>
                      <w:rFonts w:hint="eastAsia"/>
                      <w:color w:val="auto"/>
                      <w:lang w:val="en-US" w:eastAsia="zh-CN"/>
                    </w:rPr>
                    <w:t>200</w:t>
                  </w:r>
                </w:p>
              </w:tc>
            </w:tr>
            <w:tr w14:paraId="63F463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618559B1">
                  <w:pPr>
                    <w:pStyle w:val="28"/>
                    <w:rPr>
                      <w:color w:val="auto"/>
                    </w:rPr>
                  </w:pPr>
                </w:p>
              </w:tc>
              <w:tc>
                <w:tcPr>
                  <w:tcW w:w="1267" w:type="pct"/>
                  <w:vMerge w:val="continue"/>
                  <w:vAlign w:val="center"/>
                </w:tcPr>
                <w:p w14:paraId="3A7E70CE">
                  <w:pPr>
                    <w:pStyle w:val="28"/>
                    <w:rPr>
                      <w:color w:val="auto"/>
                    </w:rPr>
                  </w:pPr>
                </w:p>
              </w:tc>
              <w:tc>
                <w:tcPr>
                  <w:tcW w:w="709" w:type="pct"/>
                  <w:vMerge w:val="restart"/>
                  <w:vAlign w:val="center"/>
                </w:tcPr>
                <w:p w14:paraId="3FC6A9E7">
                  <w:pPr>
                    <w:pStyle w:val="28"/>
                    <w:rPr>
                      <w:color w:val="auto"/>
                    </w:rPr>
                  </w:pPr>
                  <w:r>
                    <w:rPr>
                      <w:color w:val="auto"/>
                      <w:szCs w:val="21"/>
                    </w:rPr>
                    <w:t>CO</w:t>
                  </w:r>
                </w:p>
              </w:tc>
              <w:tc>
                <w:tcPr>
                  <w:tcW w:w="1155" w:type="pct"/>
                  <w:vAlign w:val="center"/>
                </w:tcPr>
                <w:p w14:paraId="5532C77A">
                  <w:pPr>
                    <w:pStyle w:val="28"/>
                    <w:rPr>
                      <w:color w:val="auto"/>
                    </w:rPr>
                  </w:pPr>
                  <w:r>
                    <w:rPr>
                      <w:color w:val="auto"/>
                    </w:rPr>
                    <w:t>24小时平均</w:t>
                  </w:r>
                </w:p>
              </w:tc>
              <w:tc>
                <w:tcPr>
                  <w:tcW w:w="646" w:type="pct"/>
                  <w:vAlign w:val="center"/>
                </w:tcPr>
                <w:p w14:paraId="0D87909B">
                  <w:pPr>
                    <w:pStyle w:val="28"/>
                    <w:rPr>
                      <w:color w:val="auto"/>
                    </w:rPr>
                  </w:pPr>
                  <w:r>
                    <w:rPr>
                      <w:color w:val="auto"/>
                      <w:szCs w:val="21"/>
                    </w:rPr>
                    <w:t>mg/m</w:t>
                  </w:r>
                  <w:r>
                    <w:rPr>
                      <w:color w:val="auto"/>
                      <w:szCs w:val="21"/>
                      <w:vertAlign w:val="superscript"/>
                    </w:rPr>
                    <w:t>3</w:t>
                  </w:r>
                </w:p>
              </w:tc>
              <w:tc>
                <w:tcPr>
                  <w:tcW w:w="873" w:type="pct"/>
                  <w:vAlign w:val="center"/>
                </w:tcPr>
                <w:p w14:paraId="33427C7C">
                  <w:pPr>
                    <w:pStyle w:val="28"/>
                    <w:rPr>
                      <w:rFonts w:hint="eastAsia" w:eastAsia="宋体"/>
                      <w:color w:val="auto"/>
                      <w:lang w:val="en-US" w:eastAsia="zh-CN"/>
                    </w:rPr>
                  </w:pPr>
                  <w:r>
                    <w:rPr>
                      <w:rFonts w:hint="eastAsia"/>
                      <w:color w:val="auto"/>
                      <w:lang w:val="en-US" w:eastAsia="zh-CN"/>
                    </w:rPr>
                    <w:t>4</w:t>
                  </w:r>
                </w:p>
              </w:tc>
            </w:tr>
            <w:tr w14:paraId="5FDD80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0D23C34E">
                  <w:pPr>
                    <w:pStyle w:val="28"/>
                    <w:rPr>
                      <w:color w:val="auto"/>
                    </w:rPr>
                  </w:pPr>
                </w:p>
              </w:tc>
              <w:tc>
                <w:tcPr>
                  <w:tcW w:w="1267" w:type="pct"/>
                  <w:vMerge w:val="continue"/>
                  <w:vAlign w:val="center"/>
                </w:tcPr>
                <w:p w14:paraId="7F5C65A4">
                  <w:pPr>
                    <w:pStyle w:val="28"/>
                    <w:rPr>
                      <w:color w:val="auto"/>
                    </w:rPr>
                  </w:pPr>
                </w:p>
              </w:tc>
              <w:tc>
                <w:tcPr>
                  <w:tcW w:w="709" w:type="pct"/>
                  <w:vMerge w:val="continue"/>
                  <w:vAlign w:val="center"/>
                </w:tcPr>
                <w:p w14:paraId="5D7B2F98">
                  <w:pPr>
                    <w:pStyle w:val="28"/>
                    <w:rPr>
                      <w:color w:val="auto"/>
                    </w:rPr>
                  </w:pPr>
                </w:p>
              </w:tc>
              <w:tc>
                <w:tcPr>
                  <w:tcW w:w="1155" w:type="pct"/>
                  <w:vAlign w:val="center"/>
                </w:tcPr>
                <w:p w14:paraId="4FDC0F34">
                  <w:pPr>
                    <w:pStyle w:val="28"/>
                    <w:rPr>
                      <w:color w:val="auto"/>
                    </w:rPr>
                  </w:pPr>
                  <w:r>
                    <w:rPr>
                      <w:color w:val="auto"/>
                    </w:rPr>
                    <w:t>1小时平均</w:t>
                  </w:r>
                </w:p>
              </w:tc>
              <w:tc>
                <w:tcPr>
                  <w:tcW w:w="646" w:type="pct"/>
                  <w:vAlign w:val="center"/>
                </w:tcPr>
                <w:p w14:paraId="1D1408C7">
                  <w:pPr>
                    <w:pStyle w:val="28"/>
                    <w:rPr>
                      <w:color w:val="auto"/>
                    </w:rPr>
                  </w:pPr>
                  <w:r>
                    <w:rPr>
                      <w:color w:val="auto"/>
                      <w:szCs w:val="21"/>
                    </w:rPr>
                    <w:t>mg/m</w:t>
                  </w:r>
                  <w:r>
                    <w:rPr>
                      <w:color w:val="auto"/>
                      <w:szCs w:val="21"/>
                      <w:vertAlign w:val="superscript"/>
                    </w:rPr>
                    <w:t>3</w:t>
                  </w:r>
                </w:p>
              </w:tc>
              <w:tc>
                <w:tcPr>
                  <w:tcW w:w="873" w:type="pct"/>
                  <w:vAlign w:val="center"/>
                </w:tcPr>
                <w:p w14:paraId="111B66F0">
                  <w:pPr>
                    <w:pStyle w:val="28"/>
                    <w:rPr>
                      <w:rFonts w:hint="default" w:eastAsia="宋体"/>
                      <w:color w:val="auto"/>
                      <w:lang w:val="en-US" w:eastAsia="zh-CN"/>
                    </w:rPr>
                  </w:pPr>
                  <w:r>
                    <w:rPr>
                      <w:rFonts w:hint="eastAsia"/>
                      <w:color w:val="auto"/>
                      <w:lang w:val="en-US" w:eastAsia="zh-CN"/>
                    </w:rPr>
                    <w:t>10</w:t>
                  </w:r>
                </w:p>
              </w:tc>
            </w:tr>
            <w:tr w14:paraId="52A9BA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3ED42CC4">
                  <w:pPr>
                    <w:pStyle w:val="28"/>
                    <w:rPr>
                      <w:color w:val="auto"/>
                    </w:rPr>
                  </w:pPr>
                </w:p>
              </w:tc>
              <w:tc>
                <w:tcPr>
                  <w:tcW w:w="1267" w:type="pct"/>
                  <w:vMerge w:val="continue"/>
                  <w:vAlign w:val="center"/>
                </w:tcPr>
                <w:p w14:paraId="68F88BDC">
                  <w:pPr>
                    <w:pStyle w:val="28"/>
                    <w:rPr>
                      <w:color w:val="auto"/>
                    </w:rPr>
                  </w:pPr>
                </w:p>
              </w:tc>
              <w:tc>
                <w:tcPr>
                  <w:tcW w:w="709" w:type="pct"/>
                  <w:vMerge w:val="restart"/>
                  <w:vAlign w:val="center"/>
                </w:tcPr>
                <w:p w14:paraId="3FA937C8">
                  <w:pPr>
                    <w:pStyle w:val="28"/>
                    <w:rPr>
                      <w:color w:val="auto"/>
                    </w:rPr>
                  </w:pPr>
                  <w:r>
                    <w:rPr>
                      <w:color w:val="auto"/>
                      <w:szCs w:val="21"/>
                    </w:rPr>
                    <w:t>O</w:t>
                  </w:r>
                  <w:r>
                    <w:rPr>
                      <w:color w:val="auto"/>
                      <w:szCs w:val="21"/>
                      <w:vertAlign w:val="subscript"/>
                    </w:rPr>
                    <w:t>3</w:t>
                  </w:r>
                </w:p>
              </w:tc>
              <w:tc>
                <w:tcPr>
                  <w:tcW w:w="1155" w:type="pct"/>
                  <w:vAlign w:val="center"/>
                </w:tcPr>
                <w:p w14:paraId="7FCC621D">
                  <w:pPr>
                    <w:pStyle w:val="28"/>
                    <w:rPr>
                      <w:color w:val="auto"/>
                    </w:rPr>
                  </w:pPr>
                  <w:r>
                    <w:rPr>
                      <w:color w:val="auto"/>
                      <w:szCs w:val="21"/>
                    </w:rPr>
                    <w:t>日最大8小时均值</w:t>
                  </w:r>
                </w:p>
              </w:tc>
              <w:tc>
                <w:tcPr>
                  <w:tcW w:w="646" w:type="pct"/>
                  <w:vAlign w:val="center"/>
                </w:tcPr>
                <w:p w14:paraId="3E2CE675">
                  <w:pPr>
                    <w:pStyle w:val="28"/>
                    <w:rPr>
                      <w:color w:val="auto"/>
                    </w:rPr>
                  </w:pPr>
                  <w:r>
                    <w:rPr>
                      <w:color w:val="auto"/>
                    </w:rPr>
                    <w:t>µg/m</w:t>
                  </w:r>
                  <w:r>
                    <w:rPr>
                      <w:color w:val="auto"/>
                      <w:vertAlign w:val="superscript"/>
                    </w:rPr>
                    <w:t>3</w:t>
                  </w:r>
                </w:p>
              </w:tc>
              <w:tc>
                <w:tcPr>
                  <w:tcW w:w="873" w:type="pct"/>
                  <w:vAlign w:val="center"/>
                </w:tcPr>
                <w:p w14:paraId="615E26DB">
                  <w:pPr>
                    <w:pStyle w:val="28"/>
                    <w:rPr>
                      <w:rFonts w:hint="default" w:eastAsia="宋体"/>
                      <w:color w:val="auto"/>
                      <w:lang w:val="en-US" w:eastAsia="zh-CN"/>
                    </w:rPr>
                  </w:pPr>
                  <w:r>
                    <w:rPr>
                      <w:rFonts w:hint="eastAsia"/>
                      <w:color w:val="auto"/>
                      <w:lang w:val="en-US" w:eastAsia="zh-CN"/>
                    </w:rPr>
                    <w:t>100</w:t>
                  </w:r>
                </w:p>
              </w:tc>
            </w:tr>
            <w:tr w14:paraId="0B84D7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7BE0BA86">
                  <w:pPr>
                    <w:pStyle w:val="28"/>
                    <w:rPr>
                      <w:color w:val="auto"/>
                    </w:rPr>
                  </w:pPr>
                </w:p>
              </w:tc>
              <w:tc>
                <w:tcPr>
                  <w:tcW w:w="1267" w:type="pct"/>
                  <w:vMerge w:val="continue"/>
                  <w:vAlign w:val="center"/>
                </w:tcPr>
                <w:p w14:paraId="0D2EF6F3">
                  <w:pPr>
                    <w:pStyle w:val="28"/>
                    <w:rPr>
                      <w:color w:val="auto"/>
                    </w:rPr>
                  </w:pPr>
                </w:p>
              </w:tc>
              <w:tc>
                <w:tcPr>
                  <w:tcW w:w="709" w:type="pct"/>
                  <w:vMerge w:val="continue"/>
                  <w:vAlign w:val="center"/>
                </w:tcPr>
                <w:p w14:paraId="7F30B756">
                  <w:pPr>
                    <w:pStyle w:val="28"/>
                    <w:rPr>
                      <w:color w:val="auto"/>
                    </w:rPr>
                  </w:pPr>
                </w:p>
              </w:tc>
              <w:tc>
                <w:tcPr>
                  <w:tcW w:w="1155" w:type="pct"/>
                  <w:vAlign w:val="center"/>
                </w:tcPr>
                <w:p w14:paraId="73E312B0">
                  <w:pPr>
                    <w:pStyle w:val="28"/>
                    <w:rPr>
                      <w:color w:val="auto"/>
                    </w:rPr>
                  </w:pPr>
                  <w:r>
                    <w:rPr>
                      <w:color w:val="auto"/>
                    </w:rPr>
                    <w:t>1小时平均</w:t>
                  </w:r>
                </w:p>
              </w:tc>
              <w:tc>
                <w:tcPr>
                  <w:tcW w:w="646" w:type="pct"/>
                  <w:vAlign w:val="center"/>
                </w:tcPr>
                <w:p w14:paraId="090406F5">
                  <w:pPr>
                    <w:pStyle w:val="28"/>
                    <w:rPr>
                      <w:color w:val="auto"/>
                    </w:rPr>
                  </w:pPr>
                  <w:r>
                    <w:rPr>
                      <w:color w:val="auto"/>
                    </w:rPr>
                    <w:t>µg/m</w:t>
                  </w:r>
                  <w:r>
                    <w:rPr>
                      <w:color w:val="auto"/>
                      <w:vertAlign w:val="superscript"/>
                    </w:rPr>
                    <w:t>3</w:t>
                  </w:r>
                </w:p>
              </w:tc>
              <w:tc>
                <w:tcPr>
                  <w:tcW w:w="873" w:type="pct"/>
                  <w:vAlign w:val="center"/>
                </w:tcPr>
                <w:p w14:paraId="1E9C2009">
                  <w:pPr>
                    <w:pStyle w:val="28"/>
                    <w:rPr>
                      <w:rFonts w:hint="default" w:eastAsia="宋体"/>
                      <w:color w:val="auto"/>
                      <w:lang w:val="en-US" w:eastAsia="zh-CN"/>
                    </w:rPr>
                  </w:pPr>
                  <w:r>
                    <w:rPr>
                      <w:rFonts w:hint="eastAsia"/>
                      <w:color w:val="auto"/>
                      <w:lang w:val="en-US" w:eastAsia="zh-CN"/>
                    </w:rPr>
                    <w:t>160</w:t>
                  </w:r>
                </w:p>
              </w:tc>
            </w:tr>
            <w:tr w14:paraId="7510F6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2D03BB4B">
                  <w:pPr>
                    <w:pStyle w:val="28"/>
                    <w:rPr>
                      <w:color w:val="auto"/>
                    </w:rPr>
                  </w:pPr>
                </w:p>
              </w:tc>
              <w:tc>
                <w:tcPr>
                  <w:tcW w:w="1267" w:type="pct"/>
                  <w:vMerge w:val="continue"/>
                  <w:vAlign w:val="center"/>
                </w:tcPr>
                <w:p w14:paraId="73646259">
                  <w:pPr>
                    <w:pStyle w:val="28"/>
                    <w:rPr>
                      <w:color w:val="auto"/>
                    </w:rPr>
                  </w:pPr>
                </w:p>
              </w:tc>
              <w:tc>
                <w:tcPr>
                  <w:tcW w:w="709" w:type="pct"/>
                  <w:vMerge w:val="restart"/>
                  <w:vAlign w:val="center"/>
                </w:tcPr>
                <w:p w14:paraId="620FBD8F">
                  <w:pPr>
                    <w:pStyle w:val="28"/>
                    <w:rPr>
                      <w:color w:val="auto"/>
                    </w:rPr>
                  </w:pPr>
                  <w:r>
                    <w:rPr>
                      <w:color w:val="auto"/>
                      <w:szCs w:val="21"/>
                    </w:rPr>
                    <w:t>PM</w:t>
                  </w:r>
                  <w:r>
                    <w:rPr>
                      <w:color w:val="auto"/>
                      <w:szCs w:val="21"/>
                      <w:vertAlign w:val="subscript"/>
                    </w:rPr>
                    <w:t>2.5</w:t>
                  </w:r>
                </w:p>
              </w:tc>
              <w:tc>
                <w:tcPr>
                  <w:tcW w:w="1155" w:type="pct"/>
                  <w:vAlign w:val="center"/>
                </w:tcPr>
                <w:p w14:paraId="5A0A9A8C">
                  <w:pPr>
                    <w:pStyle w:val="28"/>
                    <w:rPr>
                      <w:color w:val="auto"/>
                    </w:rPr>
                  </w:pPr>
                  <w:r>
                    <w:rPr>
                      <w:color w:val="auto"/>
                    </w:rPr>
                    <w:t>年平均</w:t>
                  </w:r>
                </w:p>
              </w:tc>
              <w:tc>
                <w:tcPr>
                  <w:tcW w:w="646" w:type="pct"/>
                  <w:vAlign w:val="center"/>
                </w:tcPr>
                <w:p w14:paraId="5A1C60D4">
                  <w:pPr>
                    <w:pStyle w:val="28"/>
                    <w:rPr>
                      <w:color w:val="auto"/>
                    </w:rPr>
                  </w:pPr>
                  <w:r>
                    <w:rPr>
                      <w:color w:val="auto"/>
                    </w:rPr>
                    <w:t>µg/m</w:t>
                  </w:r>
                  <w:r>
                    <w:rPr>
                      <w:color w:val="auto"/>
                      <w:vertAlign w:val="superscript"/>
                    </w:rPr>
                    <w:t>3</w:t>
                  </w:r>
                </w:p>
              </w:tc>
              <w:tc>
                <w:tcPr>
                  <w:tcW w:w="873" w:type="pct"/>
                  <w:vAlign w:val="center"/>
                </w:tcPr>
                <w:p w14:paraId="3731BC4C">
                  <w:pPr>
                    <w:pStyle w:val="28"/>
                    <w:rPr>
                      <w:rFonts w:hint="default" w:eastAsia="宋体"/>
                      <w:color w:val="auto"/>
                      <w:lang w:val="en-US" w:eastAsia="zh-CN"/>
                    </w:rPr>
                  </w:pPr>
                  <w:r>
                    <w:rPr>
                      <w:rFonts w:hint="eastAsia"/>
                      <w:color w:val="auto"/>
                      <w:lang w:val="en-US" w:eastAsia="zh-CN"/>
                    </w:rPr>
                    <w:t>35</w:t>
                  </w:r>
                </w:p>
              </w:tc>
            </w:tr>
            <w:tr w14:paraId="1A57176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43AC8B6">
                  <w:pPr>
                    <w:pStyle w:val="28"/>
                    <w:rPr>
                      <w:color w:val="auto"/>
                    </w:rPr>
                  </w:pPr>
                </w:p>
              </w:tc>
              <w:tc>
                <w:tcPr>
                  <w:tcW w:w="1267" w:type="pct"/>
                  <w:vMerge w:val="continue"/>
                  <w:vAlign w:val="center"/>
                </w:tcPr>
                <w:p w14:paraId="12441FC6">
                  <w:pPr>
                    <w:pStyle w:val="28"/>
                    <w:rPr>
                      <w:color w:val="auto"/>
                    </w:rPr>
                  </w:pPr>
                </w:p>
              </w:tc>
              <w:tc>
                <w:tcPr>
                  <w:tcW w:w="709" w:type="pct"/>
                  <w:vMerge w:val="continue"/>
                  <w:vAlign w:val="center"/>
                </w:tcPr>
                <w:p w14:paraId="3EA5A161">
                  <w:pPr>
                    <w:pStyle w:val="28"/>
                    <w:rPr>
                      <w:color w:val="auto"/>
                      <w:szCs w:val="21"/>
                    </w:rPr>
                  </w:pPr>
                </w:p>
              </w:tc>
              <w:tc>
                <w:tcPr>
                  <w:tcW w:w="1155" w:type="pct"/>
                  <w:vAlign w:val="center"/>
                </w:tcPr>
                <w:p w14:paraId="7CD09CC9">
                  <w:pPr>
                    <w:pStyle w:val="28"/>
                    <w:rPr>
                      <w:color w:val="auto"/>
                    </w:rPr>
                  </w:pPr>
                  <w:r>
                    <w:rPr>
                      <w:color w:val="auto"/>
                    </w:rPr>
                    <w:t>24小时平均</w:t>
                  </w:r>
                </w:p>
              </w:tc>
              <w:tc>
                <w:tcPr>
                  <w:tcW w:w="646" w:type="pct"/>
                  <w:vAlign w:val="center"/>
                </w:tcPr>
                <w:p w14:paraId="6DFEC47F">
                  <w:pPr>
                    <w:pStyle w:val="28"/>
                    <w:rPr>
                      <w:color w:val="auto"/>
                    </w:rPr>
                  </w:pPr>
                  <w:r>
                    <w:rPr>
                      <w:color w:val="auto"/>
                    </w:rPr>
                    <w:t>µg/m</w:t>
                  </w:r>
                  <w:r>
                    <w:rPr>
                      <w:color w:val="auto"/>
                      <w:vertAlign w:val="superscript"/>
                    </w:rPr>
                    <w:t>3</w:t>
                  </w:r>
                </w:p>
              </w:tc>
              <w:tc>
                <w:tcPr>
                  <w:tcW w:w="873" w:type="pct"/>
                  <w:vAlign w:val="center"/>
                </w:tcPr>
                <w:p w14:paraId="71A6D4F4">
                  <w:pPr>
                    <w:pStyle w:val="28"/>
                    <w:rPr>
                      <w:rFonts w:hint="default" w:eastAsia="宋体"/>
                      <w:color w:val="auto"/>
                      <w:lang w:val="en-US" w:eastAsia="zh-CN"/>
                    </w:rPr>
                  </w:pPr>
                  <w:r>
                    <w:rPr>
                      <w:rFonts w:hint="eastAsia"/>
                      <w:color w:val="auto"/>
                      <w:lang w:val="en-US" w:eastAsia="zh-CN"/>
                    </w:rPr>
                    <w:t>75</w:t>
                  </w:r>
                </w:p>
              </w:tc>
            </w:tr>
            <w:tr w14:paraId="20C341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2816C562">
                  <w:pPr>
                    <w:pStyle w:val="28"/>
                    <w:rPr>
                      <w:color w:val="auto"/>
                    </w:rPr>
                  </w:pPr>
                </w:p>
              </w:tc>
              <w:tc>
                <w:tcPr>
                  <w:tcW w:w="1267" w:type="pct"/>
                  <w:vMerge w:val="continue"/>
                  <w:vAlign w:val="center"/>
                </w:tcPr>
                <w:p w14:paraId="5A1EA9A4">
                  <w:pPr>
                    <w:pStyle w:val="28"/>
                    <w:rPr>
                      <w:color w:val="auto"/>
                    </w:rPr>
                  </w:pPr>
                </w:p>
              </w:tc>
              <w:tc>
                <w:tcPr>
                  <w:tcW w:w="709" w:type="pct"/>
                  <w:vMerge w:val="restart"/>
                  <w:vAlign w:val="center"/>
                </w:tcPr>
                <w:p w14:paraId="0A6592CC">
                  <w:pPr>
                    <w:pStyle w:val="28"/>
                    <w:rPr>
                      <w:color w:val="auto"/>
                    </w:rPr>
                  </w:pPr>
                  <w:r>
                    <w:rPr>
                      <w:color w:val="auto"/>
                    </w:rPr>
                    <w:t>PM</w:t>
                  </w:r>
                  <w:r>
                    <w:rPr>
                      <w:color w:val="auto"/>
                      <w:vertAlign w:val="subscript"/>
                    </w:rPr>
                    <w:t>10</w:t>
                  </w:r>
                </w:p>
              </w:tc>
              <w:tc>
                <w:tcPr>
                  <w:tcW w:w="1155" w:type="pct"/>
                  <w:vAlign w:val="center"/>
                </w:tcPr>
                <w:p w14:paraId="3FD3FC4F">
                  <w:pPr>
                    <w:pStyle w:val="28"/>
                    <w:rPr>
                      <w:color w:val="auto"/>
                    </w:rPr>
                  </w:pPr>
                  <w:r>
                    <w:rPr>
                      <w:color w:val="auto"/>
                    </w:rPr>
                    <w:t>年平均</w:t>
                  </w:r>
                </w:p>
              </w:tc>
              <w:tc>
                <w:tcPr>
                  <w:tcW w:w="646" w:type="pct"/>
                  <w:vAlign w:val="center"/>
                </w:tcPr>
                <w:p w14:paraId="5C31E33D">
                  <w:pPr>
                    <w:pStyle w:val="28"/>
                    <w:rPr>
                      <w:color w:val="auto"/>
                    </w:rPr>
                  </w:pPr>
                  <w:r>
                    <w:rPr>
                      <w:color w:val="auto"/>
                    </w:rPr>
                    <w:t>µg/m</w:t>
                  </w:r>
                  <w:r>
                    <w:rPr>
                      <w:color w:val="auto"/>
                      <w:vertAlign w:val="superscript"/>
                    </w:rPr>
                    <w:t>3</w:t>
                  </w:r>
                </w:p>
              </w:tc>
              <w:tc>
                <w:tcPr>
                  <w:tcW w:w="873" w:type="pct"/>
                  <w:vAlign w:val="center"/>
                </w:tcPr>
                <w:p w14:paraId="6A3F879E">
                  <w:pPr>
                    <w:pStyle w:val="28"/>
                    <w:rPr>
                      <w:rFonts w:hint="default" w:eastAsia="宋体"/>
                      <w:color w:val="auto"/>
                      <w:lang w:val="en-US" w:eastAsia="zh-CN"/>
                    </w:rPr>
                  </w:pPr>
                  <w:r>
                    <w:rPr>
                      <w:rFonts w:hint="eastAsia"/>
                      <w:color w:val="auto"/>
                      <w:lang w:val="en-US" w:eastAsia="zh-CN"/>
                    </w:rPr>
                    <w:t>70</w:t>
                  </w:r>
                </w:p>
              </w:tc>
            </w:tr>
            <w:tr w14:paraId="617739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D08E17B">
                  <w:pPr>
                    <w:pStyle w:val="28"/>
                    <w:rPr>
                      <w:color w:val="auto"/>
                    </w:rPr>
                  </w:pPr>
                </w:p>
              </w:tc>
              <w:tc>
                <w:tcPr>
                  <w:tcW w:w="1267" w:type="pct"/>
                  <w:vMerge w:val="continue"/>
                  <w:vAlign w:val="center"/>
                </w:tcPr>
                <w:p w14:paraId="288BBEB2">
                  <w:pPr>
                    <w:pStyle w:val="28"/>
                    <w:rPr>
                      <w:color w:val="auto"/>
                    </w:rPr>
                  </w:pPr>
                </w:p>
              </w:tc>
              <w:tc>
                <w:tcPr>
                  <w:tcW w:w="709" w:type="pct"/>
                  <w:vMerge w:val="continue"/>
                  <w:vAlign w:val="center"/>
                </w:tcPr>
                <w:p w14:paraId="49B18EF4">
                  <w:pPr>
                    <w:pStyle w:val="28"/>
                    <w:rPr>
                      <w:color w:val="auto"/>
                    </w:rPr>
                  </w:pPr>
                </w:p>
              </w:tc>
              <w:tc>
                <w:tcPr>
                  <w:tcW w:w="1155" w:type="pct"/>
                  <w:vAlign w:val="center"/>
                </w:tcPr>
                <w:p w14:paraId="4B4C9A5D">
                  <w:pPr>
                    <w:pStyle w:val="28"/>
                    <w:rPr>
                      <w:color w:val="auto"/>
                    </w:rPr>
                  </w:pPr>
                  <w:r>
                    <w:rPr>
                      <w:color w:val="auto"/>
                    </w:rPr>
                    <w:t>24小时平均</w:t>
                  </w:r>
                </w:p>
              </w:tc>
              <w:tc>
                <w:tcPr>
                  <w:tcW w:w="646" w:type="pct"/>
                  <w:vAlign w:val="center"/>
                </w:tcPr>
                <w:p w14:paraId="7D81290F">
                  <w:pPr>
                    <w:pStyle w:val="28"/>
                    <w:rPr>
                      <w:color w:val="auto"/>
                    </w:rPr>
                  </w:pPr>
                  <w:r>
                    <w:rPr>
                      <w:color w:val="auto"/>
                    </w:rPr>
                    <w:t>µg/m</w:t>
                  </w:r>
                  <w:r>
                    <w:rPr>
                      <w:color w:val="auto"/>
                      <w:vertAlign w:val="superscript"/>
                    </w:rPr>
                    <w:t>3</w:t>
                  </w:r>
                </w:p>
              </w:tc>
              <w:tc>
                <w:tcPr>
                  <w:tcW w:w="873" w:type="pct"/>
                  <w:vAlign w:val="center"/>
                </w:tcPr>
                <w:p w14:paraId="1F709E32">
                  <w:pPr>
                    <w:pStyle w:val="28"/>
                    <w:rPr>
                      <w:rFonts w:hint="default" w:eastAsia="宋体"/>
                      <w:color w:val="auto"/>
                      <w:lang w:val="en-US" w:eastAsia="zh-CN"/>
                    </w:rPr>
                  </w:pPr>
                  <w:r>
                    <w:rPr>
                      <w:rFonts w:hint="eastAsia"/>
                      <w:color w:val="auto"/>
                      <w:lang w:val="en-US" w:eastAsia="zh-CN"/>
                    </w:rPr>
                    <w:t>150</w:t>
                  </w:r>
                </w:p>
              </w:tc>
            </w:tr>
            <w:tr w14:paraId="3FAE9A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37002BD2">
                  <w:pPr>
                    <w:pStyle w:val="28"/>
                    <w:rPr>
                      <w:color w:val="auto"/>
                    </w:rPr>
                  </w:pPr>
                </w:p>
              </w:tc>
              <w:tc>
                <w:tcPr>
                  <w:tcW w:w="1267" w:type="pct"/>
                  <w:vMerge w:val="continue"/>
                  <w:vAlign w:val="center"/>
                </w:tcPr>
                <w:p w14:paraId="31BF0F88">
                  <w:pPr>
                    <w:pStyle w:val="28"/>
                    <w:rPr>
                      <w:color w:val="auto"/>
                    </w:rPr>
                  </w:pPr>
                </w:p>
              </w:tc>
              <w:tc>
                <w:tcPr>
                  <w:tcW w:w="709" w:type="pct"/>
                  <w:vAlign w:val="center"/>
                </w:tcPr>
                <w:p w14:paraId="030BB193">
                  <w:pPr>
                    <w:pStyle w:val="28"/>
                    <w:rPr>
                      <w:color w:val="auto"/>
                    </w:rPr>
                  </w:pPr>
                  <w:r>
                    <w:rPr>
                      <w:color w:val="auto"/>
                    </w:rPr>
                    <w:t>TSP</w:t>
                  </w:r>
                </w:p>
              </w:tc>
              <w:tc>
                <w:tcPr>
                  <w:tcW w:w="1155" w:type="pct"/>
                  <w:vAlign w:val="center"/>
                </w:tcPr>
                <w:p w14:paraId="7531EEDB">
                  <w:pPr>
                    <w:pStyle w:val="28"/>
                    <w:rPr>
                      <w:color w:val="auto"/>
                    </w:rPr>
                  </w:pPr>
                  <w:r>
                    <w:rPr>
                      <w:color w:val="auto"/>
                    </w:rPr>
                    <w:t>24小时平均</w:t>
                  </w:r>
                </w:p>
              </w:tc>
              <w:tc>
                <w:tcPr>
                  <w:tcW w:w="646" w:type="pct"/>
                  <w:vAlign w:val="center"/>
                </w:tcPr>
                <w:p w14:paraId="66EA994E">
                  <w:pPr>
                    <w:pStyle w:val="28"/>
                    <w:rPr>
                      <w:color w:val="auto"/>
                    </w:rPr>
                  </w:pPr>
                  <w:r>
                    <w:rPr>
                      <w:color w:val="auto"/>
                    </w:rPr>
                    <w:t>µg/m</w:t>
                  </w:r>
                  <w:r>
                    <w:rPr>
                      <w:color w:val="auto"/>
                      <w:vertAlign w:val="superscript"/>
                    </w:rPr>
                    <w:t>3</w:t>
                  </w:r>
                </w:p>
              </w:tc>
              <w:tc>
                <w:tcPr>
                  <w:tcW w:w="873" w:type="pct"/>
                  <w:vAlign w:val="center"/>
                </w:tcPr>
                <w:p w14:paraId="0508F2BD">
                  <w:pPr>
                    <w:pStyle w:val="28"/>
                    <w:rPr>
                      <w:rFonts w:hint="default" w:eastAsia="宋体"/>
                      <w:color w:val="auto"/>
                      <w:lang w:val="en-US" w:eastAsia="zh-CN"/>
                    </w:rPr>
                  </w:pPr>
                  <w:r>
                    <w:rPr>
                      <w:rFonts w:hint="eastAsia"/>
                      <w:color w:val="auto"/>
                      <w:lang w:val="en-US" w:eastAsia="zh-CN"/>
                    </w:rPr>
                    <w:t>80</w:t>
                  </w:r>
                </w:p>
              </w:tc>
            </w:tr>
            <w:tr w14:paraId="05458E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restart"/>
                  <w:vAlign w:val="center"/>
                </w:tcPr>
                <w:p w14:paraId="0BC8C37B">
                  <w:pPr>
                    <w:pStyle w:val="28"/>
                    <w:rPr>
                      <w:color w:val="auto"/>
                    </w:rPr>
                  </w:pPr>
                  <w:r>
                    <w:rPr>
                      <w:color w:val="auto"/>
                    </w:rPr>
                    <w:t>地</w:t>
                  </w:r>
                </w:p>
                <w:p w14:paraId="60E3F379">
                  <w:pPr>
                    <w:pStyle w:val="28"/>
                    <w:rPr>
                      <w:color w:val="auto"/>
                    </w:rPr>
                  </w:pPr>
                  <w:r>
                    <w:rPr>
                      <w:color w:val="auto"/>
                    </w:rPr>
                    <w:t>表</w:t>
                  </w:r>
                </w:p>
                <w:p w14:paraId="07814B20">
                  <w:pPr>
                    <w:pStyle w:val="28"/>
                    <w:rPr>
                      <w:color w:val="auto"/>
                    </w:rPr>
                  </w:pPr>
                  <w:r>
                    <w:rPr>
                      <w:color w:val="auto"/>
                    </w:rPr>
                    <w:t>水</w:t>
                  </w:r>
                </w:p>
              </w:tc>
              <w:tc>
                <w:tcPr>
                  <w:tcW w:w="1267" w:type="pct"/>
                  <w:vMerge w:val="restart"/>
                  <w:vAlign w:val="center"/>
                </w:tcPr>
                <w:p w14:paraId="1B8BDEA6">
                  <w:pPr>
                    <w:pStyle w:val="28"/>
                    <w:rPr>
                      <w:color w:val="auto"/>
                    </w:rPr>
                  </w:pPr>
                  <w:r>
                    <w:rPr>
                      <w:color w:val="auto"/>
                    </w:rPr>
                    <w:t>《地表水环境质量标准》（GB3838-2002）中</w:t>
                  </w:r>
                  <w:r>
                    <w:rPr>
                      <w:rFonts w:hint="eastAsia"/>
                      <w:color w:val="auto"/>
                      <w:lang w:val="en-US" w:eastAsia="zh-CN"/>
                    </w:rPr>
                    <w:t>I</w:t>
                  </w:r>
                  <w:r>
                    <w:rPr>
                      <w:color w:val="auto"/>
                    </w:rPr>
                    <w:t>类标准</w:t>
                  </w:r>
                </w:p>
              </w:tc>
              <w:tc>
                <w:tcPr>
                  <w:tcW w:w="709" w:type="pct"/>
                  <w:vAlign w:val="center"/>
                </w:tcPr>
                <w:p w14:paraId="0EF19963">
                  <w:pPr>
                    <w:pStyle w:val="28"/>
                    <w:rPr>
                      <w:color w:val="auto"/>
                    </w:rPr>
                  </w:pPr>
                  <w:r>
                    <w:rPr>
                      <w:color w:val="auto"/>
                    </w:rPr>
                    <w:t>pH</w:t>
                  </w:r>
                </w:p>
              </w:tc>
              <w:tc>
                <w:tcPr>
                  <w:tcW w:w="1801" w:type="pct"/>
                  <w:gridSpan w:val="2"/>
                  <w:vAlign w:val="center"/>
                </w:tcPr>
                <w:p w14:paraId="1FF00D0E">
                  <w:pPr>
                    <w:pStyle w:val="28"/>
                    <w:rPr>
                      <w:color w:val="auto"/>
                    </w:rPr>
                  </w:pPr>
                  <w:r>
                    <w:rPr>
                      <w:color w:val="auto"/>
                    </w:rPr>
                    <w:t>/</w:t>
                  </w:r>
                </w:p>
              </w:tc>
              <w:tc>
                <w:tcPr>
                  <w:tcW w:w="873" w:type="pct"/>
                  <w:vAlign w:val="center"/>
                </w:tcPr>
                <w:p w14:paraId="74527F92">
                  <w:pPr>
                    <w:pStyle w:val="28"/>
                    <w:rPr>
                      <w:color w:val="auto"/>
                    </w:rPr>
                  </w:pPr>
                  <w:r>
                    <w:rPr>
                      <w:color w:val="auto"/>
                    </w:rPr>
                    <w:t>6~9</w:t>
                  </w:r>
                </w:p>
              </w:tc>
            </w:tr>
            <w:tr w14:paraId="0FDCE0D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442B8060">
                  <w:pPr>
                    <w:pStyle w:val="28"/>
                    <w:rPr>
                      <w:color w:val="auto"/>
                    </w:rPr>
                  </w:pPr>
                </w:p>
              </w:tc>
              <w:tc>
                <w:tcPr>
                  <w:tcW w:w="1267" w:type="pct"/>
                  <w:vMerge w:val="continue"/>
                  <w:vAlign w:val="center"/>
                </w:tcPr>
                <w:p w14:paraId="649090E8">
                  <w:pPr>
                    <w:pStyle w:val="28"/>
                    <w:rPr>
                      <w:color w:val="auto"/>
                    </w:rPr>
                  </w:pPr>
                </w:p>
              </w:tc>
              <w:tc>
                <w:tcPr>
                  <w:tcW w:w="709" w:type="pct"/>
                  <w:vAlign w:val="center"/>
                </w:tcPr>
                <w:p w14:paraId="09EAE081">
                  <w:pPr>
                    <w:pStyle w:val="28"/>
                    <w:rPr>
                      <w:color w:val="auto"/>
                    </w:rPr>
                  </w:pPr>
                  <w:r>
                    <w:rPr>
                      <w:rFonts w:hint="eastAsia"/>
                      <w:color w:val="auto"/>
                      <w:szCs w:val="21"/>
                    </w:rPr>
                    <w:t>C</w:t>
                  </w:r>
                  <w:r>
                    <w:rPr>
                      <w:color w:val="auto"/>
                      <w:szCs w:val="21"/>
                    </w:rPr>
                    <w:t>OD</w:t>
                  </w:r>
                </w:p>
              </w:tc>
              <w:tc>
                <w:tcPr>
                  <w:tcW w:w="1801" w:type="pct"/>
                  <w:gridSpan w:val="2"/>
                  <w:vAlign w:val="center"/>
                </w:tcPr>
                <w:p w14:paraId="73BECAD7">
                  <w:pPr>
                    <w:pStyle w:val="28"/>
                    <w:rPr>
                      <w:color w:val="auto"/>
                    </w:rPr>
                  </w:pPr>
                  <w:r>
                    <w:rPr>
                      <w:color w:val="auto"/>
                    </w:rPr>
                    <w:t>mg/L</w:t>
                  </w:r>
                </w:p>
              </w:tc>
              <w:tc>
                <w:tcPr>
                  <w:tcW w:w="873" w:type="pct"/>
                  <w:vAlign w:val="center"/>
                </w:tcPr>
                <w:p w14:paraId="1E2C0398">
                  <w:pPr>
                    <w:pStyle w:val="28"/>
                    <w:rPr>
                      <w:rFonts w:hint="default" w:eastAsia="宋体"/>
                      <w:color w:val="auto"/>
                      <w:lang w:val="en-US" w:eastAsia="zh-CN"/>
                    </w:rPr>
                  </w:pPr>
                  <w:r>
                    <w:rPr>
                      <w:color w:val="auto"/>
                      <w:szCs w:val="21"/>
                    </w:rPr>
                    <w:t>≤</w:t>
                  </w:r>
                  <w:r>
                    <w:rPr>
                      <w:rFonts w:hint="eastAsia"/>
                      <w:color w:val="auto"/>
                      <w:szCs w:val="21"/>
                      <w:lang w:val="en-US" w:eastAsia="zh-CN"/>
                    </w:rPr>
                    <w:t>15</w:t>
                  </w:r>
                </w:p>
              </w:tc>
            </w:tr>
            <w:tr w14:paraId="6E10C7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67C60FBA">
                  <w:pPr>
                    <w:pStyle w:val="28"/>
                    <w:rPr>
                      <w:color w:val="auto"/>
                    </w:rPr>
                  </w:pPr>
                </w:p>
              </w:tc>
              <w:tc>
                <w:tcPr>
                  <w:tcW w:w="1267" w:type="pct"/>
                  <w:vMerge w:val="continue"/>
                  <w:vAlign w:val="center"/>
                </w:tcPr>
                <w:p w14:paraId="5345A72C">
                  <w:pPr>
                    <w:pStyle w:val="28"/>
                    <w:rPr>
                      <w:color w:val="auto"/>
                    </w:rPr>
                  </w:pPr>
                </w:p>
              </w:tc>
              <w:tc>
                <w:tcPr>
                  <w:tcW w:w="709" w:type="pct"/>
                  <w:vAlign w:val="center"/>
                </w:tcPr>
                <w:p w14:paraId="000800EF">
                  <w:pPr>
                    <w:pStyle w:val="28"/>
                    <w:rPr>
                      <w:color w:val="auto"/>
                    </w:rPr>
                  </w:pPr>
                  <w:r>
                    <w:rPr>
                      <w:rFonts w:hint="eastAsia"/>
                      <w:color w:val="auto"/>
                      <w:szCs w:val="21"/>
                    </w:rPr>
                    <w:t>B</w:t>
                  </w:r>
                  <w:r>
                    <w:rPr>
                      <w:color w:val="auto"/>
                      <w:szCs w:val="21"/>
                    </w:rPr>
                    <w:t>OD</w:t>
                  </w:r>
                  <w:r>
                    <w:rPr>
                      <w:color w:val="auto"/>
                      <w:szCs w:val="21"/>
                      <w:vertAlign w:val="subscript"/>
                    </w:rPr>
                    <w:t>5</w:t>
                  </w:r>
                </w:p>
              </w:tc>
              <w:tc>
                <w:tcPr>
                  <w:tcW w:w="1801" w:type="pct"/>
                  <w:gridSpan w:val="2"/>
                  <w:vAlign w:val="center"/>
                </w:tcPr>
                <w:p w14:paraId="1AC55675">
                  <w:pPr>
                    <w:pStyle w:val="28"/>
                    <w:rPr>
                      <w:color w:val="auto"/>
                    </w:rPr>
                  </w:pPr>
                  <w:r>
                    <w:rPr>
                      <w:color w:val="auto"/>
                    </w:rPr>
                    <w:t>mg/L</w:t>
                  </w:r>
                </w:p>
              </w:tc>
              <w:tc>
                <w:tcPr>
                  <w:tcW w:w="873" w:type="pct"/>
                  <w:vAlign w:val="center"/>
                </w:tcPr>
                <w:p w14:paraId="23157647">
                  <w:pPr>
                    <w:pStyle w:val="28"/>
                    <w:rPr>
                      <w:rFonts w:hint="eastAsia" w:eastAsia="宋体"/>
                      <w:color w:val="auto"/>
                      <w:lang w:eastAsia="zh-CN"/>
                    </w:rPr>
                  </w:pPr>
                  <w:r>
                    <w:rPr>
                      <w:color w:val="auto"/>
                      <w:szCs w:val="21"/>
                    </w:rPr>
                    <w:t>≤</w:t>
                  </w:r>
                  <w:r>
                    <w:rPr>
                      <w:rFonts w:hint="eastAsia"/>
                      <w:color w:val="auto"/>
                      <w:szCs w:val="21"/>
                      <w:lang w:val="en-US" w:eastAsia="zh-CN"/>
                    </w:rPr>
                    <w:t>3</w:t>
                  </w:r>
                </w:p>
              </w:tc>
            </w:tr>
            <w:tr w14:paraId="425BF99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05357318">
                  <w:pPr>
                    <w:pStyle w:val="28"/>
                    <w:rPr>
                      <w:color w:val="auto"/>
                    </w:rPr>
                  </w:pPr>
                </w:p>
              </w:tc>
              <w:tc>
                <w:tcPr>
                  <w:tcW w:w="1267" w:type="pct"/>
                  <w:vMerge w:val="continue"/>
                  <w:vAlign w:val="center"/>
                </w:tcPr>
                <w:p w14:paraId="346D5900">
                  <w:pPr>
                    <w:pStyle w:val="28"/>
                    <w:rPr>
                      <w:color w:val="auto"/>
                    </w:rPr>
                  </w:pPr>
                </w:p>
              </w:tc>
              <w:tc>
                <w:tcPr>
                  <w:tcW w:w="709" w:type="pct"/>
                  <w:vAlign w:val="center"/>
                </w:tcPr>
                <w:p w14:paraId="18E80E1F">
                  <w:pPr>
                    <w:pStyle w:val="28"/>
                    <w:rPr>
                      <w:color w:val="auto"/>
                    </w:rPr>
                  </w:pPr>
                  <w:r>
                    <w:rPr>
                      <w:rFonts w:hint="eastAsia"/>
                      <w:color w:val="auto"/>
                      <w:szCs w:val="21"/>
                    </w:rPr>
                    <w:t>N</w:t>
                  </w:r>
                  <w:r>
                    <w:rPr>
                      <w:color w:val="auto"/>
                      <w:szCs w:val="21"/>
                    </w:rPr>
                    <w:t>H</w:t>
                  </w:r>
                  <w:r>
                    <w:rPr>
                      <w:color w:val="auto"/>
                      <w:szCs w:val="21"/>
                      <w:vertAlign w:val="subscript"/>
                    </w:rPr>
                    <w:t>3</w:t>
                  </w:r>
                  <w:r>
                    <w:rPr>
                      <w:color w:val="auto"/>
                      <w:szCs w:val="21"/>
                    </w:rPr>
                    <w:t>-N</w:t>
                  </w:r>
                </w:p>
              </w:tc>
              <w:tc>
                <w:tcPr>
                  <w:tcW w:w="1801" w:type="pct"/>
                  <w:gridSpan w:val="2"/>
                  <w:vAlign w:val="center"/>
                </w:tcPr>
                <w:p w14:paraId="44861A0B">
                  <w:pPr>
                    <w:pStyle w:val="28"/>
                    <w:rPr>
                      <w:color w:val="auto"/>
                    </w:rPr>
                  </w:pPr>
                  <w:r>
                    <w:rPr>
                      <w:color w:val="auto"/>
                    </w:rPr>
                    <w:t>mg/L</w:t>
                  </w:r>
                </w:p>
              </w:tc>
              <w:tc>
                <w:tcPr>
                  <w:tcW w:w="873" w:type="pct"/>
                  <w:vAlign w:val="center"/>
                </w:tcPr>
                <w:p w14:paraId="5A76ACAC">
                  <w:pPr>
                    <w:pStyle w:val="28"/>
                    <w:rPr>
                      <w:rFonts w:hint="default" w:eastAsia="宋体"/>
                      <w:color w:val="auto"/>
                      <w:lang w:val="en-US" w:eastAsia="zh-CN"/>
                    </w:rPr>
                  </w:pPr>
                  <w:r>
                    <w:rPr>
                      <w:color w:val="auto"/>
                      <w:szCs w:val="21"/>
                    </w:rPr>
                    <w:t>≤</w:t>
                  </w:r>
                  <w:r>
                    <w:rPr>
                      <w:rFonts w:hint="eastAsia"/>
                      <w:color w:val="auto"/>
                      <w:szCs w:val="21"/>
                      <w:lang w:val="en-US" w:eastAsia="zh-CN"/>
                    </w:rPr>
                    <w:t>0.15</w:t>
                  </w:r>
                </w:p>
              </w:tc>
            </w:tr>
            <w:tr w14:paraId="6E0B49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A2F1503">
                  <w:pPr>
                    <w:pStyle w:val="28"/>
                    <w:rPr>
                      <w:color w:val="auto"/>
                    </w:rPr>
                  </w:pPr>
                </w:p>
              </w:tc>
              <w:tc>
                <w:tcPr>
                  <w:tcW w:w="1267" w:type="pct"/>
                  <w:vMerge w:val="continue"/>
                  <w:vAlign w:val="center"/>
                </w:tcPr>
                <w:p w14:paraId="5BCBE2D6">
                  <w:pPr>
                    <w:pStyle w:val="28"/>
                    <w:rPr>
                      <w:color w:val="auto"/>
                    </w:rPr>
                  </w:pPr>
                </w:p>
              </w:tc>
              <w:tc>
                <w:tcPr>
                  <w:tcW w:w="709" w:type="pct"/>
                  <w:vAlign w:val="center"/>
                </w:tcPr>
                <w:p w14:paraId="2A3EC418">
                  <w:pPr>
                    <w:pStyle w:val="28"/>
                    <w:rPr>
                      <w:color w:val="auto"/>
                      <w:szCs w:val="21"/>
                    </w:rPr>
                  </w:pPr>
                  <w:r>
                    <w:rPr>
                      <w:rFonts w:hint="eastAsia"/>
                      <w:color w:val="auto"/>
                    </w:rPr>
                    <w:t>T</w:t>
                  </w:r>
                  <w:r>
                    <w:rPr>
                      <w:color w:val="auto"/>
                    </w:rPr>
                    <w:t>N</w:t>
                  </w:r>
                </w:p>
              </w:tc>
              <w:tc>
                <w:tcPr>
                  <w:tcW w:w="1801" w:type="pct"/>
                  <w:gridSpan w:val="2"/>
                  <w:vAlign w:val="center"/>
                </w:tcPr>
                <w:p w14:paraId="2ACE9978">
                  <w:pPr>
                    <w:pStyle w:val="28"/>
                    <w:rPr>
                      <w:color w:val="auto"/>
                    </w:rPr>
                  </w:pPr>
                  <w:r>
                    <w:rPr>
                      <w:color w:val="auto"/>
                    </w:rPr>
                    <w:t>mg/L</w:t>
                  </w:r>
                </w:p>
              </w:tc>
              <w:tc>
                <w:tcPr>
                  <w:tcW w:w="873" w:type="pct"/>
                  <w:vAlign w:val="center"/>
                </w:tcPr>
                <w:p w14:paraId="0A9AB72F">
                  <w:pPr>
                    <w:pStyle w:val="28"/>
                    <w:rPr>
                      <w:rFonts w:hint="default" w:eastAsia="宋体"/>
                      <w:color w:val="auto"/>
                      <w:szCs w:val="21"/>
                      <w:lang w:val="en-US" w:eastAsia="zh-CN"/>
                    </w:rPr>
                  </w:pPr>
                  <w:r>
                    <w:rPr>
                      <w:color w:val="auto"/>
                      <w:szCs w:val="21"/>
                    </w:rPr>
                    <w:t>≤</w:t>
                  </w:r>
                  <w:r>
                    <w:rPr>
                      <w:rFonts w:hint="eastAsia"/>
                      <w:color w:val="auto"/>
                      <w:szCs w:val="21"/>
                      <w:lang w:val="en-US" w:eastAsia="zh-CN"/>
                    </w:rPr>
                    <w:t>0.2</w:t>
                  </w:r>
                </w:p>
              </w:tc>
            </w:tr>
            <w:tr w14:paraId="126137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0A33757F">
                  <w:pPr>
                    <w:pStyle w:val="28"/>
                    <w:rPr>
                      <w:color w:val="auto"/>
                    </w:rPr>
                  </w:pPr>
                </w:p>
              </w:tc>
              <w:tc>
                <w:tcPr>
                  <w:tcW w:w="1267" w:type="pct"/>
                  <w:vMerge w:val="continue"/>
                  <w:vAlign w:val="center"/>
                </w:tcPr>
                <w:p w14:paraId="5DBF6B5F">
                  <w:pPr>
                    <w:pStyle w:val="28"/>
                    <w:rPr>
                      <w:color w:val="auto"/>
                    </w:rPr>
                  </w:pPr>
                </w:p>
              </w:tc>
              <w:tc>
                <w:tcPr>
                  <w:tcW w:w="709" w:type="pct"/>
                  <w:vAlign w:val="center"/>
                </w:tcPr>
                <w:p w14:paraId="05535860">
                  <w:pPr>
                    <w:pStyle w:val="28"/>
                    <w:rPr>
                      <w:color w:val="auto"/>
                    </w:rPr>
                  </w:pPr>
                  <w:r>
                    <w:rPr>
                      <w:rFonts w:hint="eastAsia"/>
                      <w:color w:val="auto"/>
                    </w:rPr>
                    <w:t>T</w:t>
                  </w:r>
                  <w:r>
                    <w:rPr>
                      <w:color w:val="auto"/>
                    </w:rPr>
                    <w:t>P</w:t>
                  </w:r>
                </w:p>
              </w:tc>
              <w:tc>
                <w:tcPr>
                  <w:tcW w:w="1801" w:type="pct"/>
                  <w:gridSpan w:val="2"/>
                  <w:vAlign w:val="center"/>
                </w:tcPr>
                <w:p w14:paraId="630641A5">
                  <w:pPr>
                    <w:pStyle w:val="28"/>
                    <w:rPr>
                      <w:color w:val="auto"/>
                    </w:rPr>
                  </w:pPr>
                  <w:r>
                    <w:rPr>
                      <w:color w:val="auto"/>
                    </w:rPr>
                    <w:t>mg/L</w:t>
                  </w:r>
                </w:p>
              </w:tc>
              <w:tc>
                <w:tcPr>
                  <w:tcW w:w="873" w:type="pct"/>
                  <w:vAlign w:val="center"/>
                </w:tcPr>
                <w:p w14:paraId="18880EF7">
                  <w:pPr>
                    <w:pStyle w:val="28"/>
                    <w:rPr>
                      <w:rFonts w:hint="default" w:eastAsia="宋体"/>
                      <w:color w:val="auto"/>
                      <w:szCs w:val="21"/>
                      <w:lang w:val="en-US" w:eastAsia="zh-CN"/>
                    </w:rPr>
                  </w:pPr>
                  <w:r>
                    <w:rPr>
                      <w:color w:val="auto"/>
                      <w:szCs w:val="21"/>
                    </w:rPr>
                    <w:t>≤</w:t>
                  </w:r>
                  <w:r>
                    <w:rPr>
                      <w:rFonts w:hint="eastAsia"/>
                      <w:color w:val="auto"/>
                      <w:szCs w:val="21"/>
                      <w:lang w:val="en-US" w:eastAsia="zh-CN"/>
                    </w:rPr>
                    <w:t>0.02</w:t>
                  </w:r>
                </w:p>
              </w:tc>
            </w:tr>
            <w:tr w14:paraId="2C9C35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241BCA94">
                  <w:pPr>
                    <w:pStyle w:val="28"/>
                    <w:rPr>
                      <w:color w:val="auto"/>
                    </w:rPr>
                  </w:pPr>
                </w:p>
              </w:tc>
              <w:tc>
                <w:tcPr>
                  <w:tcW w:w="1267" w:type="pct"/>
                  <w:vMerge w:val="continue"/>
                  <w:vAlign w:val="center"/>
                </w:tcPr>
                <w:p w14:paraId="0890C5E7">
                  <w:pPr>
                    <w:pStyle w:val="28"/>
                    <w:rPr>
                      <w:color w:val="auto"/>
                    </w:rPr>
                  </w:pPr>
                </w:p>
              </w:tc>
              <w:tc>
                <w:tcPr>
                  <w:tcW w:w="709" w:type="pct"/>
                  <w:vAlign w:val="center"/>
                </w:tcPr>
                <w:p w14:paraId="2EEF2E3E">
                  <w:pPr>
                    <w:pStyle w:val="28"/>
                    <w:rPr>
                      <w:color w:val="auto"/>
                    </w:rPr>
                  </w:pPr>
                  <w:r>
                    <w:rPr>
                      <w:color w:val="auto"/>
                      <w:szCs w:val="21"/>
                    </w:rPr>
                    <w:t>石油类</w:t>
                  </w:r>
                </w:p>
              </w:tc>
              <w:tc>
                <w:tcPr>
                  <w:tcW w:w="1801" w:type="pct"/>
                  <w:gridSpan w:val="2"/>
                  <w:vAlign w:val="center"/>
                </w:tcPr>
                <w:p w14:paraId="13E26B1F">
                  <w:pPr>
                    <w:pStyle w:val="28"/>
                    <w:rPr>
                      <w:color w:val="auto"/>
                    </w:rPr>
                  </w:pPr>
                  <w:r>
                    <w:rPr>
                      <w:color w:val="auto"/>
                    </w:rPr>
                    <w:t>mg/L</w:t>
                  </w:r>
                </w:p>
              </w:tc>
              <w:tc>
                <w:tcPr>
                  <w:tcW w:w="873" w:type="pct"/>
                  <w:vAlign w:val="center"/>
                </w:tcPr>
                <w:p w14:paraId="01BFBA88">
                  <w:pPr>
                    <w:pStyle w:val="28"/>
                    <w:rPr>
                      <w:color w:val="auto"/>
                    </w:rPr>
                  </w:pPr>
                  <w:r>
                    <w:rPr>
                      <w:color w:val="auto"/>
                      <w:szCs w:val="21"/>
                    </w:rPr>
                    <w:t>≤0.05</w:t>
                  </w:r>
                </w:p>
              </w:tc>
            </w:tr>
            <w:tr w14:paraId="611668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347" w:type="pct"/>
                  <w:vMerge w:val="restart"/>
                  <w:vAlign w:val="center"/>
                </w:tcPr>
                <w:p w14:paraId="7EC4449A">
                  <w:pPr>
                    <w:pStyle w:val="28"/>
                    <w:rPr>
                      <w:color w:val="auto"/>
                    </w:rPr>
                  </w:pPr>
                  <w:r>
                    <w:rPr>
                      <w:color w:val="auto"/>
                    </w:rPr>
                    <w:t>噪</w:t>
                  </w:r>
                </w:p>
                <w:p w14:paraId="1EC0DF53">
                  <w:pPr>
                    <w:pStyle w:val="28"/>
                    <w:rPr>
                      <w:color w:val="auto"/>
                    </w:rPr>
                  </w:pPr>
                  <w:r>
                    <w:rPr>
                      <w:color w:val="auto"/>
                    </w:rPr>
                    <w:t>声</w:t>
                  </w:r>
                </w:p>
              </w:tc>
              <w:tc>
                <w:tcPr>
                  <w:tcW w:w="1267" w:type="pct"/>
                  <w:vMerge w:val="restart"/>
                  <w:vAlign w:val="center"/>
                </w:tcPr>
                <w:p w14:paraId="608E3F17">
                  <w:pPr>
                    <w:pStyle w:val="28"/>
                    <w:rPr>
                      <w:color w:val="auto"/>
                    </w:rPr>
                  </w:pPr>
                  <w:r>
                    <w:rPr>
                      <w:color w:val="auto"/>
                    </w:rPr>
                    <w:t>《声环境质量标准》（GB3096-2008）中</w:t>
                  </w:r>
                  <w:r>
                    <w:rPr>
                      <w:rFonts w:hint="eastAsia"/>
                      <w:color w:val="auto"/>
                      <w:lang w:val="en-US" w:eastAsia="zh-CN"/>
                    </w:rPr>
                    <w:t>1</w:t>
                  </w:r>
                  <w:r>
                    <w:rPr>
                      <w:color w:val="auto"/>
                    </w:rPr>
                    <w:t>类标准</w:t>
                  </w:r>
                </w:p>
              </w:tc>
              <w:tc>
                <w:tcPr>
                  <w:tcW w:w="709" w:type="pct"/>
                  <w:vMerge w:val="restart"/>
                  <w:vAlign w:val="center"/>
                </w:tcPr>
                <w:p w14:paraId="0F1DDB15">
                  <w:pPr>
                    <w:pStyle w:val="28"/>
                    <w:rPr>
                      <w:color w:val="auto"/>
                    </w:rPr>
                  </w:pPr>
                  <w:r>
                    <w:rPr>
                      <w:color w:val="auto"/>
                    </w:rPr>
                    <w:t>噪声</w:t>
                  </w:r>
                </w:p>
              </w:tc>
              <w:tc>
                <w:tcPr>
                  <w:tcW w:w="1155" w:type="pct"/>
                  <w:vAlign w:val="center"/>
                </w:tcPr>
                <w:p w14:paraId="579A757B">
                  <w:pPr>
                    <w:pStyle w:val="28"/>
                    <w:rPr>
                      <w:color w:val="auto"/>
                    </w:rPr>
                  </w:pPr>
                  <w:r>
                    <w:rPr>
                      <w:color w:val="auto"/>
                    </w:rPr>
                    <w:t>昼间</w:t>
                  </w:r>
                </w:p>
              </w:tc>
              <w:tc>
                <w:tcPr>
                  <w:tcW w:w="646" w:type="pct"/>
                  <w:vMerge w:val="restart"/>
                  <w:vAlign w:val="center"/>
                </w:tcPr>
                <w:p w14:paraId="44158E37">
                  <w:pPr>
                    <w:pStyle w:val="28"/>
                    <w:rPr>
                      <w:color w:val="auto"/>
                    </w:rPr>
                  </w:pPr>
                  <w:r>
                    <w:rPr>
                      <w:color w:val="auto"/>
                    </w:rPr>
                    <w:t>dB（A）</w:t>
                  </w:r>
                </w:p>
              </w:tc>
              <w:tc>
                <w:tcPr>
                  <w:tcW w:w="873" w:type="pct"/>
                  <w:vAlign w:val="center"/>
                </w:tcPr>
                <w:p w14:paraId="24F18FF2">
                  <w:pPr>
                    <w:pStyle w:val="28"/>
                    <w:rPr>
                      <w:rFonts w:hint="default" w:eastAsia="宋体"/>
                      <w:color w:val="auto"/>
                      <w:lang w:val="en-US" w:eastAsia="zh-CN"/>
                    </w:rPr>
                  </w:pPr>
                  <w:r>
                    <w:rPr>
                      <w:rFonts w:hint="eastAsia"/>
                      <w:color w:val="auto"/>
                      <w:lang w:val="en-US" w:eastAsia="zh-CN"/>
                    </w:rPr>
                    <w:t>55</w:t>
                  </w:r>
                </w:p>
              </w:tc>
            </w:tr>
            <w:tr w14:paraId="10820B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47" w:type="pct"/>
                  <w:vMerge w:val="continue"/>
                  <w:vAlign w:val="center"/>
                </w:tcPr>
                <w:p w14:paraId="50994BAB">
                  <w:pPr>
                    <w:pStyle w:val="28"/>
                    <w:rPr>
                      <w:color w:val="auto"/>
                    </w:rPr>
                  </w:pPr>
                </w:p>
              </w:tc>
              <w:tc>
                <w:tcPr>
                  <w:tcW w:w="1267" w:type="pct"/>
                  <w:vMerge w:val="continue"/>
                  <w:vAlign w:val="center"/>
                </w:tcPr>
                <w:p w14:paraId="3F5577F0">
                  <w:pPr>
                    <w:pStyle w:val="28"/>
                    <w:rPr>
                      <w:color w:val="auto"/>
                    </w:rPr>
                  </w:pPr>
                </w:p>
              </w:tc>
              <w:tc>
                <w:tcPr>
                  <w:tcW w:w="709" w:type="pct"/>
                  <w:vMerge w:val="continue"/>
                  <w:vAlign w:val="center"/>
                </w:tcPr>
                <w:p w14:paraId="534223F7">
                  <w:pPr>
                    <w:pStyle w:val="28"/>
                    <w:rPr>
                      <w:color w:val="auto"/>
                    </w:rPr>
                  </w:pPr>
                </w:p>
              </w:tc>
              <w:tc>
                <w:tcPr>
                  <w:tcW w:w="1155" w:type="pct"/>
                  <w:vAlign w:val="center"/>
                </w:tcPr>
                <w:p w14:paraId="21F55D44">
                  <w:pPr>
                    <w:pStyle w:val="28"/>
                    <w:rPr>
                      <w:color w:val="auto"/>
                    </w:rPr>
                  </w:pPr>
                  <w:r>
                    <w:rPr>
                      <w:color w:val="auto"/>
                    </w:rPr>
                    <w:t>夜间</w:t>
                  </w:r>
                </w:p>
              </w:tc>
              <w:tc>
                <w:tcPr>
                  <w:tcW w:w="646" w:type="pct"/>
                  <w:vMerge w:val="continue"/>
                  <w:vAlign w:val="center"/>
                </w:tcPr>
                <w:p w14:paraId="0AE16D8C">
                  <w:pPr>
                    <w:pStyle w:val="28"/>
                    <w:rPr>
                      <w:color w:val="auto"/>
                    </w:rPr>
                  </w:pPr>
                </w:p>
              </w:tc>
              <w:tc>
                <w:tcPr>
                  <w:tcW w:w="873" w:type="pct"/>
                  <w:vAlign w:val="center"/>
                </w:tcPr>
                <w:p w14:paraId="4AFAB742">
                  <w:pPr>
                    <w:pStyle w:val="28"/>
                    <w:rPr>
                      <w:rFonts w:hint="default" w:eastAsia="宋体"/>
                      <w:color w:val="auto"/>
                      <w:lang w:val="en-US" w:eastAsia="zh-CN"/>
                    </w:rPr>
                  </w:pPr>
                  <w:r>
                    <w:rPr>
                      <w:rFonts w:hint="eastAsia"/>
                      <w:color w:val="auto"/>
                      <w:lang w:val="en-US" w:eastAsia="zh-CN"/>
                    </w:rPr>
                    <w:t>45</w:t>
                  </w:r>
                </w:p>
              </w:tc>
            </w:tr>
          </w:tbl>
          <w:p w14:paraId="115B9714">
            <w:pPr>
              <w:pStyle w:val="37"/>
              <w:ind w:firstLine="482"/>
              <w:rPr>
                <w:b/>
                <w:bCs/>
                <w:color w:val="auto"/>
              </w:rPr>
            </w:pPr>
            <w:r>
              <w:rPr>
                <w:rFonts w:hint="eastAsia"/>
                <w:b/>
                <w:bCs/>
                <w:color w:val="auto"/>
              </w:rPr>
              <w:t>2、污染物排放标准</w:t>
            </w:r>
          </w:p>
          <w:p w14:paraId="4F36DC03">
            <w:pPr>
              <w:pStyle w:val="37"/>
              <w:ind w:firstLine="480"/>
              <w:rPr>
                <w:color w:val="auto"/>
              </w:rPr>
            </w:pPr>
            <w:r>
              <w:rPr>
                <w:rFonts w:hint="eastAsia"/>
                <w:color w:val="auto"/>
              </w:rPr>
              <w:t>（1）废气</w:t>
            </w:r>
          </w:p>
          <w:p w14:paraId="40F5D95E">
            <w:pPr>
              <w:pStyle w:val="37"/>
              <w:ind w:firstLine="480"/>
              <w:rPr>
                <w:color w:val="auto"/>
              </w:rPr>
            </w:pPr>
            <w:r>
              <w:rPr>
                <w:rFonts w:hint="eastAsia"/>
                <w:color w:val="auto"/>
              </w:rPr>
              <w:t>项目施工期扬尘执行《施工场界扬尘排放限值》（DB61/1078-2017）中相关排放要求；项目运营期无废气产生。具体见表</w:t>
            </w:r>
            <w:r>
              <w:rPr>
                <w:rFonts w:hint="eastAsia"/>
                <w:color w:val="auto"/>
                <w:lang w:val="en-US" w:eastAsia="zh-CN"/>
              </w:rPr>
              <w:t>12</w:t>
            </w:r>
            <w:r>
              <w:rPr>
                <w:rFonts w:hint="eastAsia"/>
                <w:color w:val="auto"/>
              </w:rPr>
              <w:t>。</w:t>
            </w:r>
          </w:p>
          <w:p w14:paraId="19766539">
            <w:pPr>
              <w:pStyle w:val="35"/>
              <w:rPr>
                <w:color w:val="auto"/>
              </w:rPr>
            </w:pPr>
            <w:r>
              <w:rPr>
                <w:color w:val="auto"/>
              </w:rPr>
              <w:t>表</w:t>
            </w:r>
            <w:r>
              <w:rPr>
                <w:rFonts w:hint="eastAsia"/>
                <w:color w:val="auto"/>
                <w:lang w:val="en-US" w:eastAsia="zh-CN"/>
              </w:rPr>
              <w:t xml:space="preserve">12   </w:t>
            </w:r>
            <w:r>
              <w:rPr>
                <w:color w:val="auto"/>
              </w:rPr>
              <w:t>施工场界扬尘（</w:t>
            </w:r>
            <w:r>
              <w:rPr>
                <w:rFonts w:hint="eastAsia"/>
                <w:color w:val="auto"/>
              </w:rPr>
              <w:t>T</w:t>
            </w:r>
            <w:r>
              <w:rPr>
                <w:color w:val="auto"/>
              </w:rPr>
              <w:t>SP）浓度限值</w:t>
            </w:r>
          </w:p>
          <w:tbl>
            <w:tblPr>
              <w:tblStyle w:val="18"/>
              <w:tblW w:w="4993" w:type="pct"/>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98"/>
              <w:gridCol w:w="1596"/>
              <w:gridCol w:w="1464"/>
              <w:gridCol w:w="1567"/>
              <w:gridCol w:w="2664"/>
            </w:tblGrid>
            <w:tr w14:paraId="4EC0D12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 w:type="pct"/>
                  <w:vAlign w:val="center"/>
                </w:tcPr>
                <w:p w14:paraId="32270745">
                  <w:pPr>
                    <w:pStyle w:val="28"/>
                    <w:rPr>
                      <w:b/>
                      <w:bCs/>
                      <w:color w:val="auto"/>
                    </w:rPr>
                  </w:pPr>
                  <w:r>
                    <w:rPr>
                      <w:b/>
                      <w:bCs/>
                      <w:color w:val="auto"/>
                    </w:rPr>
                    <w:t>序号</w:t>
                  </w:r>
                </w:p>
              </w:tc>
              <w:tc>
                <w:tcPr>
                  <w:tcW w:w="999" w:type="pct"/>
                  <w:vAlign w:val="center"/>
                </w:tcPr>
                <w:p w14:paraId="752FB0FC">
                  <w:pPr>
                    <w:pStyle w:val="28"/>
                    <w:rPr>
                      <w:b/>
                      <w:bCs/>
                      <w:color w:val="auto"/>
                    </w:rPr>
                  </w:pPr>
                  <w:r>
                    <w:rPr>
                      <w:b/>
                      <w:bCs/>
                      <w:color w:val="auto"/>
                    </w:rPr>
                    <w:t>污染物</w:t>
                  </w:r>
                </w:p>
              </w:tc>
              <w:tc>
                <w:tcPr>
                  <w:tcW w:w="916" w:type="pct"/>
                  <w:vAlign w:val="center"/>
                </w:tcPr>
                <w:p w14:paraId="6414BCF8">
                  <w:pPr>
                    <w:pStyle w:val="28"/>
                    <w:rPr>
                      <w:b/>
                      <w:bCs/>
                      <w:color w:val="auto"/>
                    </w:rPr>
                  </w:pPr>
                  <w:r>
                    <w:rPr>
                      <w:b/>
                      <w:bCs/>
                      <w:color w:val="auto"/>
                    </w:rPr>
                    <w:t>监控点</w:t>
                  </w:r>
                </w:p>
              </w:tc>
              <w:tc>
                <w:tcPr>
                  <w:tcW w:w="981" w:type="pct"/>
                  <w:vAlign w:val="center"/>
                </w:tcPr>
                <w:p w14:paraId="2FB22D5F">
                  <w:pPr>
                    <w:pStyle w:val="28"/>
                    <w:rPr>
                      <w:b/>
                      <w:bCs/>
                      <w:color w:val="auto"/>
                    </w:rPr>
                  </w:pPr>
                  <w:r>
                    <w:rPr>
                      <w:b/>
                      <w:bCs/>
                      <w:color w:val="auto"/>
                    </w:rPr>
                    <w:t>施工阶段</w:t>
                  </w:r>
                </w:p>
              </w:tc>
              <w:tc>
                <w:tcPr>
                  <w:tcW w:w="1665" w:type="pct"/>
                  <w:vAlign w:val="center"/>
                </w:tcPr>
                <w:p w14:paraId="58763710">
                  <w:pPr>
                    <w:pStyle w:val="28"/>
                    <w:rPr>
                      <w:b/>
                      <w:bCs/>
                      <w:color w:val="auto"/>
                    </w:rPr>
                  </w:pPr>
                  <w:r>
                    <w:rPr>
                      <w:b/>
                      <w:bCs/>
                      <w:color w:val="auto"/>
                    </w:rPr>
                    <w:t>小时平均浓度限值（</w:t>
                  </w:r>
                  <w:r>
                    <w:rPr>
                      <w:b/>
                      <w:bCs/>
                      <w:color w:val="auto"/>
                      <w:kern w:val="0"/>
                      <w:lang w:bidi="ar"/>
                    </w:rPr>
                    <w:t>mg/m</w:t>
                  </w:r>
                  <w:r>
                    <w:rPr>
                      <w:b/>
                      <w:bCs/>
                      <w:color w:val="auto"/>
                      <w:kern w:val="0"/>
                      <w:vertAlign w:val="superscript"/>
                      <w:lang w:bidi="ar"/>
                    </w:rPr>
                    <w:t>3</w:t>
                  </w:r>
                  <w:r>
                    <w:rPr>
                      <w:b/>
                      <w:bCs/>
                      <w:color w:val="auto"/>
                    </w:rPr>
                    <w:t>）</w:t>
                  </w:r>
                </w:p>
              </w:tc>
            </w:tr>
            <w:tr w14:paraId="741B2B8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 w:type="pct"/>
                  <w:vAlign w:val="center"/>
                </w:tcPr>
                <w:p w14:paraId="48CB83A0">
                  <w:pPr>
                    <w:pStyle w:val="28"/>
                    <w:rPr>
                      <w:color w:val="auto"/>
                    </w:rPr>
                  </w:pPr>
                  <w:r>
                    <w:rPr>
                      <w:color w:val="auto"/>
                    </w:rPr>
                    <w:t>1</w:t>
                  </w:r>
                </w:p>
              </w:tc>
              <w:tc>
                <w:tcPr>
                  <w:tcW w:w="999" w:type="pct"/>
                  <w:vMerge w:val="restart"/>
                  <w:vAlign w:val="center"/>
                </w:tcPr>
                <w:p w14:paraId="42195132">
                  <w:pPr>
                    <w:pStyle w:val="28"/>
                    <w:rPr>
                      <w:color w:val="auto"/>
                    </w:rPr>
                  </w:pPr>
                  <w:r>
                    <w:rPr>
                      <w:color w:val="auto"/>
                    </w:rPr>
                    <w:t>施工扬尘（即总悬浮颗粒物TSP）</w:t>
                  </w:r>
                </w:p>
              </w:tc>
              <w:tc>
                <w:tcPr>
                  <w:tcW w:w="916" w:type="pct"/>
                  <w:vMerge w:val="restart"/>
                  <w:vAlign w:val="center"/>
                </w:tcPr>
                <w:p w14:paraId="2BD3F5B5">
                  <w:pPr>
                    <w:pStyle w:val="28"/>
                    <w:rPr>
                      <w:color w:val="auto"/>
                    </w:rPr>
                  </w:pPr>
                  <w:r>
                    <w:rPr>
                      <w:color w:val="auto"/>
                    </w:rPr>
                    <w:t>周界外浓度最高点</w:t>
                  </w:r>
                </w:p>
              </w:tc>
              <w:tc>
                <w:tcPr>
                  <w:tcW w:w="981" w:type="pct"/>
                  <w:vAlign w:val="center"/>
                </w:tcPr>
                <w:p w14:paraId="419A4255">
                  <w:pPr>
                    <w:pStyle w:val="28"/>
                    <w:rPr>
                      <w:color w:val="auto"/>
                    </w:rPr>
                  </w:pPr>
                  <w:r>
                    <w:rPr>
                      <w:color w:val="auto"/>
                    </w:rPr>
                    <w:t>拆除、土方及地基处理工程</w:t>
                  </w:r>
                </w:p>
              </w:tc>
              <w:tc>
                <w:tcPr>
                  <w:tcW w:w="1665" w:type="pct"/>
                  <w:vAlign w:val="center"/>
                </w:tcPr>
                <w:p w14:paraId="252AEDEA">
                  <w:pPr>
                    <w:pStyle w:val="28"/>
                    <w:rPr>
                      <w:color w:val="auto"/>
                    </w:rPr>
                  </w:pPr>
                  <w:r>
                    <w:rPr>
                      <w:color w:val="auto"/>
                    </w:rPr>
                    <w:t>≤0.8</w:t>
                  </w:r>
                </w:p>
              </w:tc>
            </w:tr>
            <w:tr w14:paraId="40FFBE5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37" w:type="pct"/>
                  <w:vAlign w:val="center"/>
                </w:tcPr>
                <w:p w14:paraId="49D15046">
                  <w:pPr>
                    <w:pStyle w:val="28"/>
                    <w:rPr>
                      <w:color w:val="auto"/>
                    </w:rPr>
                  </w:pPr>
                  <w:r>
                    <w:rPr>
                      <w:color w:val="auto"/>
                    </w:rPr>
                    <w:t>2</w:t>
                  </w:r>
                </w:p>
              </w:tc>
              <w:tc>
                <w:tcPr>
                  <w:tcW w:w="999" w:type="pct"/>
                  <w:vMerge w:val="continue"/>
                  <w:vAlign w:val="center"/>
                </w:tcPr>
                <w:p w14:paraId="472BD0E9">
                  <w:pPr>
                    <w:pStyle w:val="28"/>
                    <w:rPr>
                      <w:color w:val="auto"/>
                    </w:rPr>
                  </w:pPr>
                </w:p>
              </w:tc>
              <w:tc>
                <w:tcPr>
                  <w:tcW w:w="916" w:type="pct"/>
                  <w:vMerge w:val="continue"/>
                  <w:vAlign w:val="center"/>
                </w:tcPr>
                <w:p w14:paraId="3C51CA5A">
                  <w:pPr>
                    <w:pStyle w:val="28"/>
                    <w:rPr>
                      <w:color w:val="auto"/>
                    </w:rPr>
                  </w:pPr>
                </w:p>
              </w:tc>
              <w:tc>
                <w:tcPr>
                  <w:tcW w:w="981" w:type="pct"/>
                  <w:vAlign w:val="center"/>
                </w:tcPr>
                <w:p w14:paraId="1DEDBF3E">
                  <w:pPr>
                    <w:pStyle w:val="28"/>
                    <w:rPr>
                      <w:color w:val="auto"/>
                    </w:rPr>
                  </w:pPr>
                  <w:r>
                    <w:rPr>
                      <w:color w:val="auto"/>
                    </w:rPr>
                    <w:t>基础、主体结构及装饰工程</w:t>
                  </w:r>
                </w:p>
              </w:tc>
              <w:tc>
                <w:tcPr>
                  <w:tcW w:w="1665" w:type="pct"/>
                  <w:vAlign w:val="center"/>
                </w:tcPr>
                <w:p w14:paraId="0DA3E5BA">
                  <w:pPr>
                    <w:pStyle w:val="28"/>
                    <w:rPr>
                      <w:color w:val="auto"/>
                    </w:rPr>
                  </w:pPr>
                  <w:r>
                    <w:rPr>
                      <w:color w:val="auto"/>
                    </w:rPr>
                    <w:t>≤0.7</w:t>
                  </w:r>
                </w:p>
              </w:tc>
            </w:tr>
            <w:tr w14:paraId="019667E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5000" w:type="pct"/>
                  <w:gridSpan w:val="5"/>
                  <w:vAlign w:val="center"/>
                </w:tcPr>
                <w:p w14:paraId="6F8B66B0">
                  <w:pPr>
                    <w:pStyle w:val="28"/>
                    <w:jc w:val="both"/>
                    <w:rPr>
                      <w:color w:val="auto"/>
                    </w:rPr>
                  </w:pPr>
                  <w:r>
                    <w:rPr>
                      <w:color w:val="auto"/>
                    </w:rPr>
                    <w:t>周界外浓度最高点一般应设置于无组织排放源下风向的单位周界外10m范围内，若预计无组织排放的最大落地浓度点超出10m范围，可将监控点移至该预计浓度最高点附近</w:t>
                  </w:r>
                </w:p>
              </w:tc>
            </w:tr>
          </w:tbl>
          <w:p w14:paraId="2ECC2F14">
            <w:pPr>
              <w:pStyle w:val="37"/>
              <w:ind w:firstLine="480"/>
              <w:rPr>
                <w:color w:val="auto"/>
              </w:rPr>
            </w:pPr>
            <w:r>
              <w:rPr>
                <w:rFonts w:hint="eastAsia"/>
                <w:color w:val="auto"/>
              </w:rPr>
              <w:t>（2）噪声</w:t>
            </w:r>
          </w:p>
          <w:p w14:paraId="783E8E75">
            <w:pPr>
              <w:pStyle w:val="37"/>
              <w:ind w:firstLine="480"/>
              <w:rPr>
                <w:color w:val="auto"/>
              </w:rPr>
            </w:pPr>
            <w:r>
              <w:rPr>
                <w:rFonts w:hint="eastAsia"/>
                <w:color w:val="auto"/>
              </w:rPr>
              <w:t>项目施工期噪声执行《</w:t>
            </w:r>
            <w:bookmarkStart w:id="2" w:name="_Hlk112426509"/>
            <w:r>
              <w:rPr>
                <w:rFonts w:hint="eastAsia"/>
                <w:color w:val="auto"/>
              </w:rPr>
              <w:t>建筑施工场界环境噪声排放标准</w:t>
            </w:r>
            <w:bookmarkEnd w:id="2"/>
            <w:r>
              <w:rPr>
                <w:rFonts w:hint="eastAsia"/>
                <w:color w:val="auto"/>
              </w:rPr>
              <w:t>》（GB12523-2011）</w:t>
            </w:r>
            <w:bookmarkStart w:id="3" w:name="_Hlk112425976"/>
            <w:r>
              <w:rPr>
                <w:rFonts w:hint="eastAsia"/>
                <w:color w:val="auto"/>
              </w:rPr>
              <w:t>表1标准限值</w:t>
            </w:r>
            <w:bookmarkEnd w:id="3"/>
            <w:r>
              <w:rPr>
                <w:rFonts w:hint="eastAsia"/>
                <w:color w:val="auto"/>
              </w:rPr>
              <w:t>；项目运营期无噪声产生。具体见表</w:t>
            </w:r>
            <w:r>
              <w:rPr>
                <w:rFonts w:hint="eastAsia"/>
                <w:color w:val="auto"/>
                <w:lang w:val="en-US" w:eastAsia="zh-CN"/>
              </w:rPr>
              <w:t>13</w:t>
            </w:r>
            <w:r>
              <w:rPr>
                <w:rFonts w:hint="eastAsia"/>
                <w:color w:val="auto"/>
              </w:rPr>
              <w:t>。</w:t>
            </w:r>
          </w:p>
          <w:p w14:paraId="4CE3055E">
            <w:pPr>
              <w:pStyle w:val="35"/>
              <w:keepNext/>
              <w:rPr>
                <w:color w:val="auto"/>
              </w:rPr>
            </w:pPr>
            <w:r>
              <w:rPr>
                <w:rFonts w:hint="eastAsia"/>
                <w:color w:val="auto"/>
              </w:rPr>
              <w:t>表</w:t>
            </w:r>
            <w:r>
              <w:rPr>
                <w:rFonts w:hint="eastAsia"/>
                <w:color w:val="auto"/>
                <w:lang w:val="en-US" w:eastAsia="zh-CN"/>
              </w:rPr>
              <w:t xml:space="preserve">13   </w:t>
            </w:r>
            <w:r>
              <w:rPr>
                <w:rFonts w:hint="eastAsia"/>
                <w:color w:val="auto"/>
              </w:rPr>
              <w:t>噪声排放标准</w:t>
            </w:r>
          </w:p>
          <w:tbl>
            <w:tblPr>
              <w:tblStyle w:val="19"/>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577"/>
              <w:gridCol w:w="1711"/>
              <w:gridCol w:w="1712"/>
            </w:tblGrid>
            <w:tr w14:paraId="390290A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577" w:type="dxa"/>
                  <w:vMerge w:val="restart"/>
                  <w:vAlign w:val="center"/>
                </w:tcPr>
                <w:p w14:paraId="7999643A">
                  <w:pPr>
                    <w:pStyle w:val="28"/>
                    <w:rPr>
                      <w:b/>
                      <w:bCs/>
                      <w:color w:val="auto"/>
                    </w:rPr>
                  </w:pPr>
                  <w:r>
                    <w:rPr>
                      <w:rFonts w:hint="eastAsia"/>
                      <w:b/>
                      <w:bCs/>
                      <w:color w:val="auto"/>
                    </w:rPr>
                    <w:t>标准名称</w:t>
                  </w:r>
                </w:p>
              </w:tc>
              <w:tc>
                <w:tcPr>
                  <w:tcW w:w="3423" w:type="dxa"/>
                  <w:gridSpan w:val="2"/>
                  <w:vAlign w:val="center"/>
                </w:tcPr>
                <w:p w14:paraId="50226D5D">
                  <w:pPr>
                    <w:pStyle w:val="28"/>
                    <w:rPr>
                      <w:b/>
                      <w:bCs/>
                      <w:color w:val="auto"/>
                    </w:rPr>
                  </w:pPr>
                  <w:r>
                    <w:rPr>
                      <w:rFonts w:hint="eastAsia"/>
                      <w:b/>
                      <w:bCs/>
                      <w:color w:val="auto"/>
                    </w:rPr>
                    <w:t>标准值/d</w:t>
                  </w:r>
                  <w:r>
                    <w:rPr>
                      <w:b/>
                      <w:bCs/>
                      <w:color w:val="auto"/>
                    </w:rPr>
                    <w:t>B(A)</w:t>
                  </w:r>
                </w:p>
              </w:tc>
            </w:tr>
            <w:tr w14:paraId="5ED923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577" w:type="dxa"/>
                  <w:vMerge w:val="continue"/>
                  <w:vAlign w:val="center"/>
                </w:tcPr>
                <w:p w14:paraId="3C18A0AD">
                  <w:pPr>
                    <w:pStyle w:val="28"/>
                    <w:rPr>
                      <w:b/>
                      <w:bCs/>
                      <w:color w:val="auto"/>
                    </w:rPr>
                  </w:pPr>
                </w:p>
              </w:tc>
              <w:tc>
                <w:tcPr>
                  <w:tcW w:w="1711" w:type="dxa"/>
                  <w:vAlign w:val="center"/>
                </w:tcPr>
                <w:p w14:paraId="46DD8543">
                  <w:pPr>
                    <w:pStyle w:val="28"/>
                    <w:rPr>
                      <w:b/>
                      <w:bCs/>
                      <w:color w:val="auto"/>
                    </w:rPr>
                  </w:pPr>
                  <w:r>
                    <w:rPr>
                      <w:rFonts w:hint="eastAsia"/>
                      <w:b/>
                      <w:bCs/>
                      <w:color w:val="auto"/>
                    </w:rPr>
                    <w:t>昼间</w:t>
                  </w:r>
                </w:p>
              </w:tc>
              <w:tc>
                <w:tcPr>
                  <w:tcW w:w="1712" w:type="dxa"/>
                  <w:vAlign w:val="center"/>
                </w:tcPr>
                <w:p w14:paraId="005196DA">
                  <w:pPr>
                    <w:pStyle w:val="28"/>
                    <w:rPr>
                      <w:b/>
                      <w:bCs/>
                      <w:color w:val="auto"/>
                    </w:rPr>
                  </w:pPr>
                  <w:r>
                    <w:rPr>
                      <w:rFonts w:hint="eastAsia"/>
                      <w:b/>
                      <w:bCs/>
                      <w:color w:val="auto"/>
                    </w:rPr>
                    <w:t>夜间</w:t>
                  </w:r>
                </w:p>
              </w:tc>
            </w:tr>
            <w:tr w14:paraId="56792A7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577" w:type="dxa"/>
                  <w:vAlign w:val="center"/>
                </w:tcPr>
                <w:p w14:paraId="75C806DF">
                  <w:pPr>
                    <w:pStyle w:val="28"/>
                    <w:rPr>
                      <w:color w:val="auto"/>
                    </w:rPr>
                  </w:pPr>
                  <w:r>
                    <w:rPr>
                      <w:rFonts w:hint="eastAsia"/>
                      <w:color w:val="auto"/>
                    </w:rPr>
                    <w:t>《建筑施工场界环境噪声排放标准》（GB12523-2011）</w:t>
                  </w:r>
                </w:p>
              </w:tc>
              <w:tc>
                <w:tcPr>
                  <w:tcW w:w="1711" w:type="dxa"/>
                  <w:vAlign w:val="center"/>
                </w:tcPr>
                <w:p w14:paraId="61604D77">
                  <w:pPr>
                    <w:pStyle w:val="28"/>
                    <w:rPr>
                      <w:color w:val="auto"/>
                    </w:rPr>
                  </w:pPr>
                  <w:r>
                    <w:rPr>
                      <w:rFonts w:hint="eastAsia"/>
                      <w:color w:val="auto"/>
                    </w:rPr>
                    <w:t>7</w:t>
                  </w:r>
                  <w:r>
                    <w:rPr>
                      <w:color w:val="auto"/>
                    </w:rPr>
                    <w:t>0</w:t>
                  </w:r>
                </w:p>
              </w:tc>
              <w:tc>
                <w:tcPr>
                  <w:tcW w:w="1712" w:type="dxa"/>
                  <w:vAlign w:val="center"/>
                </w:tcPr>
                <w:p w14:paraId="7C9F516F">
                  <w:pPr>
                    <w:pStyle w:val="28"/>
                    <w:rPr>
                      <w:color w:val="auto"/>
                    </w:rPr>
                  </w:pPr>
                  <w:r>
                    <w:rPr>
                      <w:rFonts w:hint="eastAsia"/>
                      <w:color w:val="auto"/>
                    </w:rPr>
                    <w:t>5</w:t>
                  </w:r>
                  <w:r>
                    <w:rPr>
                      <w:color w:val="auto"/>
                    </w:rPr>
                    <w:t>5</w:t>
                  </w:r>
                </w:p>
              </w:tc>
            </w:tr>
          </w:tbl>
          <w:p w14:paraId="3082F987">
            <w:pPr>
              <w:pStyle w:val="37"/>
              <w:ind w:firstLine="480"/>
              <w:rPr>
                <w:color w:val="auto"/>
              </w:rPr>
            </w:pPr>
            <w:r>
              <w:rPr>
                <w:rFonts w:hint="eastAsia"/>
                <w:color w:val="auto"/>
              </w:rPr>
              <w:t>（3）废水</w:t>
            </w:r>
          </w:p>
          <w:p w14:paraId="7633C82A">
            <w:pPr>
              <w:pStyle w:val="37"/>
              <w:ind w:firstLine="480"/>
              <w:rPr>
                <w:color w:val="auto"/>
              </w:rPr>
            </w:pPr>
            <w:r>
              <w:rPr>
                <w:rFonts w:hint="eastAsia"/>
                <w:color w:val="auto"/>
              </w:rPr>
              <w:t>项目施工废水经沉淀池处理后回用，不外排；施工期生活污水包括如厕废水和盥洗废水，在施工生产办公区内设一座临时</w:t>
            </w:r>
            <w:r>
              <w:rPr>
                <w:rFonts w:hint="eastAsia"/>
                <w:color w:val="auto"/>
                <w:lang w:eastAsia="zh-CN"/>
              </w:rPr>
              <w:t>化粪池</w:t>
            </w:r>
            <w:r>
              <w:rPr>
                <w:rFonts w:hint="eastAsia"/>
                <w:color w:val="auto"/>
              </w:rPr>
              <w:t>，如厕废水定期清掏后作农肥用；盥洗废水用于洒水抑尘，不外排。项目运营期无废水产生。</w:t>
            </w:r>
          </w:p>
          <w:p w14:paraId="37D8B5F8">
            <w:pPr>
              <w:pStyle w:val="37"/>
              <w:ind w:firstLine="480"/>
              <w:rPr>
                <w:color w:val="auto"/>
              </w:rPr>
            </w:pPr>
            <w:r>
              <w:rPr>
                <w:rFonts w:hint="eastAsia"/>
                <w:color w:val="auto"/>
              </w:rPr>
              <w:t>（4）固体废物</w:t>
            </w:r>
          </w:p>
          <w:p w14:paraId="3208BE5B">
            <w:pPr>
              <w:pStyle w:val="37"/>
              <w:ind w:firstLine="480"/>
              <w:rPr>
                <w:color w:val="auto"/>
              </w:rPr>
            </w:pPr>
            <w:bookmarkStart w:id="4" w:name="_Hlk112425995"/>
            <w:r>
              <w:rPr>
                <w:rFonts w:hint="eastAsia"/>
                <w:color w:val="auto"/>
              </w:rPr>
              <w:t>项目施工期一般固体废物按照《一般工业固体废物贮存和填埋污染控制标准》（GB18599-2020）的相关规定执行</w:t>
            </w:r>
            <w:bookmarkEnd w:id="4"/>
            <w:r>
              <w:rPr>
                <w:rFonts w:hint="eastAsia"/>
                <w:color w:val="auto"/>
              </w:rPr>
              <w:t>；</w:t>
            </w:r>
            <w:r>
              <w:rPr>
                <w:rFonts w:hint="eastAsia" w:ascii="宋体" w:hAnsi="宋体" w:cs="宋体"/>
                <w:color w:val="auto"/>
                <w:kern w:val="0"/>
                <w:lang w:bidi="ar"/>
              </w:rPr>
              <w:t>生活垃圾经垃圾桶收后，交由当地环卫部门负责定期清运处置</w:t>
            </w:r>
            <w:r>
              <w:rPr>
                <w:rFonts w:hint="eastAsia"/>
                <w:color w:val="auto"/>
              </w:rPr>
              <w:t>；</w:t>
            </w:r>
            <w:r>
              <w:rPr>
                <w:rFonts w:hint="eastAsia" w:ascii="宋体" w:hAnsi="宋体" w:cs="宋体"/>
                <w:color w:val="auto"/>
                <w:kern w:val="0"/>
                <w:lang w:bidi="ar"/>
              </w:rPr>
              <w:t>建筑垃圾运往建筑垃圾填埋场处置</w:t>
            </w:r>
            <w:r>
              <w:rPr>
                <w:rFonts w:hint="eastAsia"/>
                <w:color w:val="auto"/>
              </w:rPr>
              <w:t>。项目运营期无固废产生。</w:t>
            </w:r>
          </w:p>
        </w:tc>
      </w:tr>
      <w:tr w14:paraId="591704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18" w:type="dxa"/>
            <w:vAlign w:val="center"/>
          </w:tcPr>
          <w:p w14:paraId="4C0F6B18">
            <w:pPr>
              <w:pStyle w:val="37"/>
              <w:ind w:firstLine="0" w:firstLineChars="0"/>
              <w:jc w:val="center"/>
              <w:rPr>
                <w:color w:val="auto"/>
              </w:rPr>
            </w:pPr>
            <w:r>
              <w:rPr>
                <w:rFonts w:hint="eastAsia"/>
                <w:color w:val="auto"/>
              </w:rPr>
              <w:t>其他</w:t>
            </w:r>
          </w:p>
        </w:tc>
        <w:tc>
          <w:tcPr>
            <w:tcW w:w="8216" w:type="dxa"/>
            <w:vAlign w:val="center"/>
          </w:tcPr>
          <w:p w14:paraId="2382A1F9">
            <w:pPr>
              <w:pStyle w:val="37"/>
              <w:ind w:firstLine="480"/>
              <w:rPr>
                <w:color w:val="auto"/>
              </w:rPr>
            </w:pPr>
            <w:r>
              <w:rPr>
                <w:rFonts w:hint="eastAsia"/>
                <w:color w:val="auto"/>
              </w:rPr>
              <w:t>无</w:t>
            </w:r>
          </w:p>
        </w:tc>
      </w:tr>
    </w:tbl>
    <w:p w14:paraId="45DD135B">
      <w:pPr>
        <w:ind w:firstLine="480"/>
        <w:rPr>
          <w:color w:val="auto"/>
        </w:rPr>
        <w:sectPr>
          <w:pgSz w:w="11906" w:h="16838"/>
          <w:pgMar w:top="1440" w:right="1559" w:bottom="1440" w:left="1531" w:header="851" w:footer="992" w:gutter="0"/>
          <w:cols w:space="425" w:num="1"/>
          <w:docGrid w:type="lines" w:linePitch="326" w:charSpace="0"/>
        </w:sectPr>
      </w:pPr>
    </w:p>
    <w:p w14:paraId="5A7CDAAE">
      <w:pPr>
        <w:pStyle w:val="29"/>
        <w:rPr>
          <w:color w:val="auto"/>
        </w:rPr>
      </w:pPr>
      <w:r>
        <w:rPr>
          <w:rFonts w:hint="eastAsia"/>
          <w:color w:val="auto"/>
        </w:rPr>
        <w:t>四、生态环境影响分析</w:t>
      </w:r>
    </w:p>
    <w:tbl>
      <w:tblPr>
        <w:tblStyle w:val="19"/>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8"/>
        <w:gridCol w:w="8216"/>
      </w:tblGrid>
      <w:tr w14:paraId="3ED1B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76BEBC26">
            <w:pPr>
              <w:pStyle w:val="3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auto"/>
              </w:rPr>
            </w:pPr>
            <w:r>
              <w:rPr>
                <w:rFonts w:hint="eastAsia"/>
                <w:color w:val="auto"/>
              </w:rPr>
              <w:t>施工期生态环境影响分析</w:t>
            </w:r>
          </w:p>
        </w:tc>
        <w:tc>
          <w:tcPr>
            <w:tcW w:w="8216" w:type="dxa"/>
            <w:tcBorders>
              <w:top w:val="single" w:color="auto" w:sz="12" w:space="0"/>
              <w:bottom w:val="single" w:color="auto" w:sz="4" w:space="0"/>
            </w:tcBorders>
            <w:vAlign w:val="center"/>
          </w:tcPr>
          <w:p w14:paraId="58E99B56">
            <w:pPr>
              <w:pStyle w:val="37"/>
              <w:ind w:firstLine="482"/>
              <w:rPr>
                <w:b/>
                <w:bCs/>
                <w:color w:val="auto"/>
              </w:rPr>
            </w:pPr>
            <w:r>
              <w:rPr>
                <w:rFonts w:hint="eastAsia"/>
                <w:b/>
                <w:bCs/>
                <w:color w:val="auto"/>
              </w:rPr>
              <w:t>1、施工废气影响分析</w:t>
            </w:r>
          </w:p>
          <w:p w14:paraId="0507F8D1">
            <w:pPr>
              <w:pStyle w:val="37"/>
              <w:ind w:firstLine="480"/>
              <w:rPr>
                <w:color w:val="auto"/>
              </w:rPr>
            </w:pPr>
            <w:r>
              <w:rPr>
                <w:rFonts w:hint="eastAsia"/>
                <w:color w:val="auto"/>
              </w:rPr>
              <w:t>施工废气包括施工扬尘、施工机械与车辆尾气等。</w:t>
            </w:r>
          </w:p>
          <w:p w14:paraId="030F98DC">
            <w:pPr>
              <w:pStyle w:val="37"/>
              <w:ind w:firstLine="480"/>
              <w:rPr>
                <w:color w:val="auto"/>
              </w:rPr>
            </w:pPr>
            <w:r>
              <w:rPr>
                <w:rFonts w:hint="eastAsia"/>
                <w:color w:val="auto"/>
              </w:rPr>
              <w:t>（1）施工扬尘</w:t>
            </w:r>
          </w:p>
          <w:p w14:paraId="1AB0A4E0">
            <w:pPr>
              <w:pStyle w:val="37"/>
              <w:ind w:firstLine="480"/>
              <w:rPr>
                <w:color w:val="auto"/>
              </w:rPr>
            </w:pPr>
            <w:r>
              <w:rPr>
                <w:rFonts w:hint="eastAsia"/>
                <w:color w:val="auto"/>
              </w:rPr>
              <w:t>工程施工扬尘包括建筑扬尘及运输扬尘。</w:t>
            </w:r>
          </w:p>
          <w:p w14:paraId="589605FD">
            <w:pPr>
              <w:pStyle w:val="37"/>
              <w:ind w:firstLine="480"/>
              <w:rPr>
                <w:color w:val="auto"/>
              </w:rPr>
            </w:pPr>
            <w:r>
              <w:rPr>
                <w:rFonts w:hint="eastAsia"/>
                <w:color w:val="auto"/>
              </w:rPr>
              <w:t>建筑扬尘主要指施工阶段地基平整、开挖、回填土方过程产生扬尘以及建筑材料堆场因遮盖不严遇到大风天气产生的扬尘。</w:t>
            </w:r>
          </w:p>
          <w:p w14:paraId="12C5232C">
            <w:pPr>
              <w:pStyle w:val="37"/>
              <w:ind w:firstLine="480"/>
              <w:rPr>
                <w:color w:val="auto"/>
              </w:rPr>
            </w:pPr>
            <w:r>
              <w:rPr>
                <w:rFonts w:hint="eastAsia"/>
                <w:color w:val="auto"/>
              </w:rPr>
              <w:t>物料运输过程中车辆沿途洒落于道路上的沙、土、灰、渣和建筑垃圾，以及沉积在道路上</w:t>
            </w:r>
            <w:r>
              <w:rPr>
                <w:rFonts w:hint="eastAsia"/>
                <w:color w:val="auto"/>
                <w:lang w:eastAsia="zh-CN"/>
              </w:rPr>
              <w:t>其他</w:t>
            </w:r>
            <w:r>
              <w:rPr>
                <w:rFonts w:hint="eastAsia"/>
                <w:color w:val="auto"/>
              </w:rPr>
              <w:t>排放源排放的颗粒物，经来往车辆碾压后也会导致粒径较小的颗粒物进入空气，形成二次扬尘。项目施工场地内部道路为临时道路，如不及时采取路面硬化等措施，在施工物料运输过程会造成路面沉积颗粒物反复扬起、沉降，极易造成新的污染。</w:t>
            </w:r>
          </w:p>
          <w:p w14:paraId="1366F675">
            <w:pPr>
              <w:pStyle w:val="37"/>
              <w:ind w:firstLine="480"/>
              <w:rPr>
                <w:color w:val="auto"/>
              </w:rPr>
            </w:pPr>
            <w:r>
              <w:rPr>
                <w:rFonts w:hint="eastAsia"/>
                <w:color w:val="auto"/>
              </w:rPr>
              <w:t>施工扬尘量的大小受施工方式、施工季节、管理水平、施工条件、天气条件等因素制约，有很大的随机性和波动性，类比同类项目施工场地调查，施工现场近地面粉尘浓度一般为1.5</w:t>
            </w:r>
            <w:r>
              <w:rPr>
                <w:rFonts w:hint="eastAsia"/>
                <w:color w:val="auto"/>
                <w:lang w:eastAsia="zh-CN"/>
              </w:rPr>
              <w:t>～</w:t>
            </w:r>
            <w:r>
              <w:rPr>
                <w:rFonts w:hint="eastAsia"/>
                <w:color w:val="auto"/>
              </w:rPr>
              <w:t>30mg/m</w:t>
            </w:r>
            <w:r>
              <w:rPr>
                <w:rFonts w:hint="eastAsia"/>
                <w:color w:val="auto"/>
                <w:vertAlign w:val="superscript"/>
              </w:rPr>
              <w:t>3</w:t>
            </w:r>
            <w:r>
              <w:rPr>
                <w:rFonts w:hint="eastAsia"/>
                <w:color w:val="auto"/>
              </w:rPr>
              <w:t>。</w:t>
            </w:r>
          </w:p>
          <w:p w14:paraId="36AA2053">
            <w:pPr>
              <w:pStyle w:val="37"/>
              <w:ind w:firstLine="480"/>
              <w:rPr>
                <w:color w:val="auto"/>
              </w:rPr>
            </w:pPr>
            <w:r>
              <w:rPr>
                <w:rFonts w:hint="eastAsia"/>
                <w:color w:val="auto"/>
              </w:rPr>
              <w:t>（2）施工机械与车辆尾气</w:t>
            </w:r>
          </w:p>
          <w:p w14:paraId="7957D471">
            <w:pPr>
              <w:pStyle w:val="37"/>
              <w:ind w:firstLine="480"/>
              <w:rPr>
                <w:color w:val="auto"/>
              </w:rPr>
            </w:pPr>
            <w:r>
              <w:rPr>
                <w:rFonts w:hint="eastAsia"/>
                <w:color w:val="auto"/>
              </w:rPr>
              <w:t>施工建设期间，施工机械及车辆尾气主要来自施工机械排放废气、各种物料运输车辆排放汽车尾气等，对周围环境空气造成污染。车辆尾气中主要污染物为CO、NO</w:t>
            </w:r>
            <w:r>
              <w:rPr>
                <w:rFonts w:hint="eastAsia"/>
                <w:color w:val="auto"/>
                <w:vertAlign w:val="subscript"/>
              </w:rPr>
              <w:t>X</w:t>
            </w:r>
            <w:r>
              <w:rPr>
                <w:rFonts w:hint="eastAsia"/>
                <w:color w:val="auto"/>
              </w:rPr>
              <w:t>及THC等，间断运行，工程在加强施工机械、车辆等运行管理与维护保养情况下，可减少尾气排放对环境的污染，对环境影响小。</w:t>
            </w:r>
          </w:p>
          <w:p w14:paraId="5C62D986">
            <w:pPr>
              <w:pStyle w:val="37"/>
              <w:ind w:firstLine="482"/>
              <w:rPr>
                <w:b/>
                <w:bCs/>
                <w:color w:val="auto"/>
              </w:rPr>
            </w:pPr>
            <w:r>
              <w:rPr>
                <w:b/>
                <w:bCs/>
                <w:color w:val="auto"/>
              </w:rPr>
              <w:t>2</w:t>
            </w:r>
            <w:r>
              <w:rPr>
                <w:rFonts w:hint="eastAsia"/>
                <w:b/>
                <w:bCs/>
                <w:color w:val="auto"/>
              </w:rPr>
              <w:t>、废水环境影响分析</w:t>
            </w:r>
          </w:p>
          <w:p w14:paraId="366C6FE4">
            <w:pPr>
              <w:pStyle w:val="37"/>
              <w:ind w:firstLine="480"/>
              <w:rPr>
                <w:color w:val="auto"/>
              </w:rPr>
            </w:pPr>
            <w:r>
              <w:rPr>
                <w:rFonts w:hint="eastAsia"/>
                <w:color w:val="auto"/>
              </w:rPr>
              <w:t>施工废水主要为施工区生活污水和施工废水。</w:t>
            </w:r>
          </w:p>
          <w:p w14:paraId="24363811">
            <w:pPr>
              <w:pStyle w:val="37"/>
              <w:ind w:firstLine="480"/>
              <w:rPr>
                <w:color w:val="auto"/>
              </w:rPr>
            </w:pPr>
            <w:r>
              <w:rPr>
                <w:rFonts w:hint="eastAsia"/>
                <w:color w:val="auto"/>
              </w:rPr>
              <w:t>（</w:t>
            </w:r>
            <w:r>
              <w:rPr>
                <w:color w:val="auto"/>
              </w:rPr>
              <w:t>1</w:t>
            </w:r>
            <w:r>
              <w:rPr>
                <w:rFonts w:hint="eastAsia"/>
                <w:color w:val="auto"/>
              </w:rPr>
              <w:t>）生活污水</w:t>
            </w:r>
          </w:p>
          <w:p w14:paraId="56B7705D">
            <w:pPr>
              <w:pStyle w:val="37"/>
              <w:ind w:firstLine="480"/>
              <w:rPr>
                <w:color w:val="C00000"/>
              </w:rPr>
            </w:pPr>
            <w:r>
              <w:rPr>
                <w:rFonts w:hint="eastAsia"/>
                <w:color w:val="C00000"/>
              </w:rPr>
              <w:t>生活污水主要来自施工人员日常生活排放的废水，施工场地不安排食宿，食宿依托周边村镇。根据施工安排，工程平均施工人员约为40人，施工期</w:t>
            </w:r>
            <w:r>
              <w:rPr>
                <w:rFonts w:hint="eastAsia"/>
                <w:color w:val="C00000"/>
                <w:lang w:val="en-US" w:eastAsia="zh-CN"/>
              </w:rPr>
              <w:t>8</w:t>
            </w:r>
            <w:r>
              <w:rPr>
                <w:rFonts w:hint="eastAsia"/>
                <w:color w:val="C00000"/>
              </w:rPr>
              <w:t>个月。依据陕西省《行业用水定额》（DB61</w:t>
            </w:r>
            <w:r>
              <w:rPr>
                <w:color w:val="C00000"/>
              </w:rPr>
              <w:t>/</w:t>
            </w:r>
            <w:r>
              <w:rPr>
                <w:rFonts w:hint="eastAsia"/>
                <w:color w:val="C00000"/>
              </w:rPr>
              <w:t>T943-2020），生活用水定额参照“关中地区农村居民生活”取</w:t>
            </w:r>
            <w:r>
              <w:rPr>
                <w:color w:val="C00000"/>
              </w:rPr>
              <w:t>7</w:t>
            </w:r>
            <w:r>
              <w:rPr>
                <w:rFonts w:hint="eastAsia"/>
                <w:color w:val="C00000"/>
              </w:rPr>
              <w:t>0L/（人</w:t>
            </w:r>
            <w:r>
              <w:rPr>
                <w:color w:val="C00000"/>
              </w:rPr>
              <w:t>·d</w:t>
            </w:r>
            <w:r>
              <w:rPr>
                <w:rFonts w:hint="eastAsia"/>
                <w:color w:val="C00000"/>
              </w:rPr>
              <w:t>），生活污水产生系数以0.8计，则施工期生活污水排放量为</w:t>
            </w:r>
            <w:r>
              <w:rPr>
                <w:color w:val="C00000"/>
              </w:rPr>
              <w:t>2.24</w:t>
            </w:r>
            <w:r>
              <w:rPr>
                <w:rFonts w:hint="eastAsia"/>
                <w:color w:val="C00000"/>
              </w:rPr>
              <w:t>m</w:t>
            </w:r>
            <w:r>
              <w:rPr>
                <w:rFonts w:hint="eastAsia"/>
                <w:color w:val="C00000"/>
                <w:vertAlign w:val="superscript"/>
              </w:rPr>
              <w:t>3</w:t>
            </w:r>
            <w:r>
              <w:rPr>
                <w:rFonts w:hint="eastAsia"/>
                <w:color w:val="C00000"/>
              </w:rPr>
              <w:t>/d</w:t>
            </w:r>
            <w:r>
              <w:rPr>
                <w:color w:val="C00000"/>
              </w:rPr>
              <w:t>（</w:t>
            </w:r>
            <w:r>
              <w:rPr>
                <w:rFonts w:hint="eastAsia"/>
                <w:color w:val="C00000"/>
                <w:lang w:val="en-US" w:eastAsia="zh-CN"/>
              </w:rPr>
              <w:t>537.6</w:t>
            </w:r>
            <w:r>
              <w:rPr>
                <w:color w:val="C00000"/>
              </w:rPr>
              <w:t>m</w:t>
            </w:r>
            <w:r>
              <w:rPr>
                <w:color w:val="C00000"/>
                <w:vertAlign w:val="superscript"/>
              </w:rPr>
              <w:t>3</w:t>
            </w:r>
            <w:r>
              <w:rPr>
                <w:color w:val="C00000"/>
              </w:rPr>
              <w:t>/a）</w:t>
            </w:r>
            <w:r>
              <w:rPr>
                <w:rFonts w:hint="eastAsia"/>
                <w:color w:val="C00000"/>
              </w:rPr>
              <w:t>。施工期生活污水包括如厕废水和盥洗废水，在施工生产办公区内设一座临时</w:t>
            </w:r>
            <w:r>
              <w:rPr>
                <w:rFonts w:hint="eastAsia"/>
                <w:color w:val="C00000"/>
                <w:lang w:eastAsia="zh-CN"/>
              </w:rPr>
              <w:t>化粪池</w:t>
            </w:r>
            <w:r>
              <w:rPr>
                <w:rFonts w:hint="eastAsia"/>
                <w:color w:val="C00000"/>
              </w:rPr>
              <w:t>，如厕废水委托当地村民定期清掏后堆肥，待肥料腐熟后肥田，不外排；盥洗废水用于洒水抑尘，不外排。</w:t>
            </w:r>
          </w:p>
          <w:p w14:paraId="53C7182B">
            <w:pPr>
              <w:pStyle w:val="37"/>
              <w:ind w:firstLine="480"/>
              <w:rPr>
                <w:color w:val="auto"/>
              </w:rPr>
            </w:pPr>
            <w:r>
              <w:rPr>
                <w:rFonts w:hint="eastAsia"/>
                <w:color w:val="auto"/>
              </w:rPr>
              <w:t>（</w:t>
            </w:r>
            <w:r>
              <w:rPr>
                <w:color w:val="auto"/>
              </w:rPr>
              <w:t>2</w:t>
            </w:r>
            <w:r>
              <w:rPr>
                <w:rFonts w:hint="eastAsia"/>
                <w:color w:val="auto"/>
              </w:rPr>
              <w:t>）施工废水</w:t>
            </w:r>
          </w:p>
          <w:p w14:paraId="7AA37F26">
            <w:pPr>
              <w:pStyle w:val="37"/>
              <w:ind w:firstLine="480"/>
              <w:rPr>
                <w:color w:val="auto"/>
              </w:rPr>
            </w:pPr>
            <w:r>
              <w:rPr>
                <w:rFonts w:hint="eastAsia"/>
                <w:color w:val="auto"/>
              </w:rPr>
              <w:t>本工程施工废水包括路面养护废水、施工机械和车辆冲洗废水等。工程中使用的砂石骨料、块石等均外购，且购买运至工地后可直接使用，因此，无砂石骨料冲洗废水。路面养护废水自然蒸发，施工机械和车辆冲洗废水中不含易溶于水的有毒物质，主要污染物为悬浮物，呈弱碱性，评价要求施工场地设置临时沉淀池，施工机械和车辆冲洗废水经沉淀处理后回用于其他施工作业或施工场地洒水抑尘，不外排。施工机械维修依托周边村镇，尽量不在施工场地内进行机械维修。</w:t>
            </w:r>
          </w:p>
          <w:p w14:paraId="56D11200">
            <w:pPr>
              <w:pStyle w:val="37"/>
              <w:ind w:firstLine="482"/>
              <w:rPr>
                <w:b/>
                <w:bCs/>
                <w:color w:val="auto"/>
              </w:rPr>
            </w:pPr>
            <w:r>
              <w:rPr>
                <w:rFonts w:hint="eastAsia"/>
                <w:b/>
                <w:bCs/>
                <w:color w:val="auto"/>
              </w:rPr>
              <w:t>2、声环境影响分析</w:t>
            </w:r>
          </w:p>
          <w:p w14:paraId="6733B2A3">
            <w:pPr>
              <w:pStyle w:val="37"/>
              <w:ind w:firstLine="480"/>
              <w:rPr>
                <w:color w:val="auto"/>
              </w:rPr>
            </w:pPr>
            <w:r>
              <w:rPr>
                <w:rFonts w:hint="eastAsia"/>
                <w:color w:val="auto"/>
              </w:rPr>
              <w:t>施工期噪声主要来源于挖掘机、推土机、装载机等施工机械运行噪声和建筑材料运输过程中产生的交通噪声，噪声值与施工机械功率、工作状态等因素有关，类比同类项目，施工机械噪声值一般在75~95dB(A)，各施工区域影响范围约50</w:t>
            </w:r>
            <w:r>
              <w:rPr>
                <w:rFonts w:hint="eastAsia"/>
                <w:color w:val="auto"/>
                <w:lang w:eastAsia="zh-CN"/>
              </w:rPr>
              <w:t>～</w:t>
            </w:r>
            <w:r>
              <w:rPr>
                <w:rFonts w:hint="eastAsia"/>
                <w:color w:val="auto"/>
              </w:rPr>
              <w:t>200m。根据现场踏勘，项目</w:t>
            </w:r>
            <w:r>
              <w:rPr>
                <w:rFonts w:hint="eastAsia"/>
                <w:color w:val="auto"/>
                <w:lang w:val="en-US" w:eastAsia="zh-CN"/>
              </w:rPr>
              <w:t>护岸</w:t>
            </w:r>
            <w:r>
              <w:rPr>
                <w:rFonts w:hint="eastAsia"/>
                <w:color w:val="auto"/>
              </w:rPr>
              <w:t>工程施工段两岸50m范围内无居民点，左岸距离最近居民点为</w:t>
            </w:r>
            <w:r>
              <w:rPr>
                <w:rFonts w:hint="eastAsia"/>
                <w:color w:val="auto"/>
                <w:lang w:val="en-US" w:eastAsia="zh-CN"/>
              </w:rPr>
              <w:t>56</w:t>
            </w:r>
            <w:r>
              <w:rPr>
                <w:color w:val="auto"/>
              </w:rPr>
              <w:t>m</w:t>
            </w:r>
            <w:r>
              <w:rPr>
                <w:rFonts w:hint="eastAsia"/>
                <w:color w:val="auto"/>
              </w:rPr>
              <w:t>处</w:t>
            </w:r>
            <w:r>
              <w:rPr>
                <w:rFonts w:hint="eastAsia"/>
                <w:color w:val="auto"/>
                <w:lang w:val="en-US" w:eastAsia="zh-CN"/>
              </w:rPr>
              <w:t>老县城</w:t>
            </w:r>
            <w:r>
              <w:rPr>
                <w:rFonts w:hint="eastAsia"/>
                <w:color w:val="auto"/>
              </w:rPr>
              <w:t>村</w:t>
            </w:r>
            <w:r>
              <w:rPr>
                <w:rFonts w:hint="eastAsia"/>
                <w:color w:val="auto"/>
                <w:lang w:val="en-US" w:eastAsia="zh-CN"/>
              </w:rPr>
              <w:t>民宅</w:t>
            </w:r>
            <w:r>
              <w:rPr>
                <w:rFonts w:hint="eastAsia"/>
                <w:color w:val="auto"/>
              </w:rPr>
              <w:t>，</w:t>
            </w:r>
            <w:r>
              <w:rPr>
                <w:rFonts w:hint="eastAsia" w:cs="宋体"/>
                <w:color w:val="auto"/>
                <w:kern w:val="0"/>
                <w:lang w:bidi="ar"/>
              </w:rPr>
              <w:t>施工噪声对附近居民产生影响</w:t>
            </w:r>
            <w:r>
              <w:rPr>
                <w:rFonts w:hint="eastAsia" w:cs="宋体"/>
                <w:color w:val="auto"/>
                <w:kern w:val="0"/>
                <w:lang w:val="en-US" w:eastAsia="zh-CN" w:bidi="ar"/>
              </w:rPr>
              <w:t>甚微</w:t>
            </w:r>
            <w:r>
              <w:rPr>
                <w:rFonts w:hint="eastAsia" w:cs="宋体"/>
                <w:color w:val="auto"/>
                <w:kern w:val="0"/>
                <w:lang w:bidi="ar"/>
              </w:rPr>
              <w:t>，但对附近动物产生一定的影响，由于工程量小、施工时间短，施工带来的不利影响将随着施工结束而消失。</w:t>
            </w:r>
          </w:p>
          <w:p w14:paraId="56F85CEF">
            <w:pPr>
              <w:pStyle w:val="37"/>
              <w:ind w:firstLine="482"/>
              <w:rPr>
                <w:b/>
                <w:bCs/>
                <w:color w:val="auto"/>
              </w:rPr>
            </w:pPr>
            <w:r>
              <w:rPr>
                <w:rFonts w:hint="eastAsia"/>
                <w:b/>
                <w:bCs/>
                <w:color w:val="auto"/>
              </w:rPr>
              <w:t>3、固体废物影响分析</w:t>
            </w:r>
          </w:p>
          <w:p w14:paraId="49C4751E">
            <w:pPr>
              <w:pStyle w:val="37"/>
              <w:ind w:firstLine="480"/>
              <w:rPr>
                <w:color w:val="auto"/>
              </w:rPr>
            </w:pPr>
            <w:r>
              <w:rPr>
                <w:rFonts w:hint="eastAsia"/>
                <w:color w:val="auto"/>
              </w:rPr>
              <w:t>施工期所产生的固体废物主要包括工程开挖产生的不能回用的建筑垃圾和施工人员的生活垃圾。</w:t>
            </w:r>
          </w:p>
          <w:p w14:paraId="7ECBAD50">
            <w:pPr>
              <w:pStyle w:val="37"/>
              <w:ind w:firstLine="480"/>
              <w:rPr>
                <w:color w:val="auto"/>
              </w:rPr>
            </w:pPr>
            <w:r>
              <w:rPr>
                <w:rFonts w:hint="eastAsia"/>
                <w:color w:val="auto"/>
              </w:rPr>
              <w:t>施工期的建筑垃圾以无机废物为主，主要为施工中的下脚料，如废弃的堆土、砖瓦等。该项目土建施工应该有计划进行，坚决杜绝随意倾倒。对于含有机质地表耕植土在场地内临时集中堆积，作为后期绿化覆土利用，并采取</w:t>
            </w:r>
            <w:r>
              <w:rPr>
                <w:rFonts w:hint="eastAsia"/>
                <w:color w:val="auto"/>
                <w:lang w:eastAsia="zh-CN"/>
              </w:rPr>
              <w:t>隔挡</w:t>
            </w:r>
            <w:r>
              <w:rPr>
                <w:rFonts w:hint="eastAsia"/>
                <w:color w:val="auto"/>
              </w:rPr>
              <w:t>、遮蔽等措施。</w:t>
            </w:r>
          </w:p>
          <w:p w14:paraId="27163A6F">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根据施工安排，工程平均施工人员约为40人，施工期</w:t>
            </w:r>
            <w:r>
              <w:rPr>
                <w:rFonts w:hint="eastAsia"/>
                <w:color w:val="auto"/>
                <w:lang w:val="en-US" w:eastAsia="zh-CN"/>
              </w:rPr>
              <w:t>8</w:t>
            </w:r>
            <w:r>
              <w:rPr>
                <w:rFonts w:hint="eastAsia"/>
                <w:color w:val="auto"/>
              </w:rPr>
              <w:t>个月，</w:t>
            </w:r>
            <w:r>
              <w:rPr>
                <w:color w:val="auto"/>
              </w:rPr>
              <w:t>生活垃圾</w:t>
            </w:r>
            <w:r>
              <w:rPr>
                <w:rFonts w:hint="eastAsia"/>
                <w:color w:val="auto"/>
              </w:rPr>
              <w:t>产生系数取</w:t>
            </w:r>
            <w:r>
              <w:rPr>
                <w:color w:val="auto"/>
              </w:rPr>
              <w:t>0.5kg/</w:t>
            </w:r>
            <w:r>
              <w:rPr>
                <w:rFonts w:hint="eastAsia"/>
                <w:color w:val="auto"/>
              </w:rPr>
              <w:t>（人</w:t>
            </w:r>
            <w:r>
              <w:rPr>
                <w:color w:val="auto"/>
              </w:rPr>
              <w:t>·</w:t>
            </w:r>
            <w:r>
              <w:rPr>
                <w:rFonts w:hint="eastAsia"/>
                <w:color w:val="auto"/>
              </w:rPr>
              <w:t>d）</w:t>
            </w:r>
            <w:r>
              <w:rPr>
                <w:color w:val="auto"/>
              </w:rPr>
              <w:t>，</w:t>
            </w:r>
            <w:r>
              <w:rPr>
                <w:rFonts w:hint="eastAsia"/>
                <w:color w:val="auto"/>
              </w:rPr>
              <w:t>则施工期生活垃圾产生量为</w:t>
            </w:r>
            <w:r>
              <w:rPr>
                <w:rFonts w:hint="eastAsia"/>
                <w:color w:val="auto"/>
                <w:lang w:val="en-US" w:eastAsia="zh-CN"/>
              </w:rPr>
              <w:t>26.67</w:t>
            </w:r>
            <w:r>
              <w:rPr>
                <w:color w:val="auto"/>
              </w:rPr>
              <w:t>kg/d</w:t>
            </w:r>
            <w:r>
              <w:rPr>
                <w:rFonts w:hint="eastAsia"/>
                <w:color w:val="auto"/>
              </w:rPr>
              <w:t>（</w:t>
            </w:r>
            <w:r>
              <w:rPr>
                <w:rFonts w:hint="eastAsia"/>
                <w:color w:val="auto"/>
                <w:lang w:val="en-US" w:eastAsia="zh-CN"/>
              </w:rPr>
              <w:t>4.8</w:t>
            </w:r>
            <w:r>
              <w:rPr>
                <w:rFonts w:hint="eastAsia"/>
                <w:color w:val="auto"/>
              </w:rPr>
              <w:t>t</w:t>
            </w:r>
            <w:r>
              <w:rPr>
                <w:color w:val="auto"/>
              </w:rPr>
              <w:t>/a</w:t>
            </w:r>
            <w:r>
              <w:rPr>
                <w:rFonts w:hint="eastAsia"/>
                <w:color w:val="auto"/>
              </w:rPr>
              <w:t>）。施工生活垃圾禁止乱丢乱放，工地设置垃圾桶进行收集后，交由环卫部门处理。</w:t>
            </w:r>
          </w:p>
          <w:p w14:paraId="2602FF4D">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综上所述，施工期所产生的固体废物均可得到有效处置，因此，对外界环境影响较小。</w:t>
            </w:r>
          </w:p>
          <w:p w14:paraId="7165F3D1">
            <w:pPr>
              <w:pStyle w:val="37"/>
              <w:keepNext w:val="0"/>
              <w:keepLines w:val="0"/>
              <w:pageBreakBefore w:val="0"/>
              <w:widowControl w:val="0"/>
              <w:kinsoku/>
              <w:wordWrap/>
              <w:overflowPunct/>
              <w:topLinePunct w:val="0"/>
              <w:autoSpaceDE/>
              <w:autoSpaceDN/>
              <w:bidi w:val="0"/>
              <w:adjustRightInd/>
              <w:snapToGrid/>
              <w:spacing w:line="360" w:lineRule="auto"/>
              <w:ind w:firstLine="482"/>
              <w:textAlignment w:val="auto"/>
              <w:rPr>
                <w:b/>
                <w:bCs/>
                <w:color w:val="auto"/>
              </w:rPr>
            </w:pPr>
            <w:r>
              <w:rPr>
                <w:rFonts w:hint="eastAsia"/>
                <w:b/>
                <w:bCs/>
                <w:color w:val="auto"/>
              </w:rPr>
              <w:t>5、生态环境影响分析</w:t>
            </w:r>
          </w:p>
          <w:p w14:paraId="3BE25B3B">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（1）工程占地影响分析</w:t>
            </w:r>
          </w:p>
          <w:p w14:paraId="24C1C4A8">
            <w:pPr>
              <w:pStyle w:val="6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szCs w:val="24"/>
              </w:rPr>
            </w:pPr>
            <w:r>
              <w:rPr>
                <w:rFonts w:hint="eastAsia"/>
                <w:color w:val="auto"/>
              </w:rPr>
              <w:t>本工程主要为</w:t>
            </w:r>
            <w:r>
              <w:rPr>
                <w:rFonts w:hint="eastAsia"/>
                <w:color w:val="auto"/>
                <w:lang w:val="en-US" w:eastAsia="zh-CN"/>
              </w:rPr>
              <w:t>湑水河老县城村段</w:t>
            </w:r>
            <w:r>
              <w:rPr>
                <w:rFonts w:hint="eastAsia"/>
                <w:color w:val="auto"/>
              </w:rPr>
              <w:t>综合治理工程，工程区河道防洪工程长</w:t>
            </w:r>
            <w:r>
              <w:rPr>
                <w:rFonts w:hint="eastAsia"/>
                <w:color w:val="auto"/>
                <w:lang w:val="en-US" w:eastAsia="zh-CN"/>
              </w:rPr>
              <w:t>2740</w:t>
            </w:r>
            <w:r>
              <w:rPr>
                <w:rFonts w:hint="eastAsia"/>
                <w:color w:val="auto"/>
              </w:rPr>
              <w:t>m，新</w:t>
            </w:r>
            <w:r>
              <w:rPr>
                <w:rFonts w:hint="eastAsia"/>
                <w:color w:val="auto"/>
                <w:lang w:val="en-US" w:eastAsia="zh-CN"/>
              </w:rPr>
              <w:t>护岸2740</w:t>
            </w:r>
            <w:r>
              <w:rPr>
                <w:rFonts w:hint="eastAsia"/>
                <w:color w:val="auto"/>
              </w:rPr>
              <w:t>m（其中左岸</w:t>
            </w:r>
            <w:r>
              <w:rPr>
                <w:rFonts w:hint="eastAsia"/>
                <w:color w:val="auto"/>
                <w:lang w:val="en-US" w:eastAsia="zh-CN"/>
              </w:rPr>
              <w:t>2710</w:t>
            </w:r>
            <w:r>
              <w:rPr>
                <w:rFonts w:hint="eastAsia"/>
                <w:color w:val="auto"/>
              </w:rPr>
              <w:t>m，右岸</w:t>
            </w:r>
            <w:r>
              <w:rPr>
                <w:rFonts w:hint="eastAsia"/>
                <w:color w:val="auto"/>
                <w:lang w:val="en-US" w:eastAsia="zh-CN"/>
              </w:rPr>
              <w:t>700</w:t>
            </w:r>
            <w:r>
              <w:rPr>
                <w:rFonts w:hint="eastAsia"/>
                <w:color w:val="auto"/>
              </w:rPr>
              <w:t>m）。</w:t>
            </w:r>
            <w:r>
              <w:rPr>
                <w:rFonts w:hint="default" w:ascii="Times New Roman" w:hAnsi="Times New Roman" w:cs="Times New Roman"/>
                <w:color w:val="auto"/>
                <w:szCs w:val="24"/>
              </w:rPr>
              <w:t>本项目属于“防洪工程”，临时占地面积</w:t>
            </w:r>
            <w:r>
              <w:rPr>
                <w:rFonts w:hint="eastAsia" w:cs="Times New Roman"/>
                <w:color w:val="auto"/>
                <w:szCs w:val="24"/>
                <w:lang w:val="en-US" w:eastAsia="zh-CN"/>
              </w:rPr>
              <w:t>12400.62</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2</w:t>
            </w:r>
            <w:r>
              <w:rPr>
                <w:rFonts w:hint="default" w:ascii="Times New Roman" w:hAnsi="Times New Roman" w:cs="Times New Roman"/>
                <w:color w:val="auto"/>
                <w:szCs w:val="24"/>
              </w:rPr>
              <w:t>，折</w:t>
            </w:r>
            <w:r>
              <w:rPr>
                <w:rFonts w:hint="eastAsia" w:cs="Times New Roman"/>
                <w:color w:val="auto"/>
                <w:szCs w:val="24"/>
                <w:lang w:val="en-US" w:eastAsia="zh-CN"/>
              </w:rPr>
              <w:t>18.6</w:t>
            </w:r>
            <w:r>
              <w:rPr>
                <w:rFonts w:hint="default" w:ascii="Times New Roman" w:hAnsi="Times New Roman" w:cs="Times New Roman"/>
                <w:color w:val="auto"/>
                <w:szCs w:val="24"/>
              </w:rPr>
              <w:t>亩。项目挖方量</w:t>
            </w:r>
            <w:r>
              <w:rPr>
                <w:rFonts w:hint="eastAsia" w:cs="Times New Roman"/>
                <w:color w:val="auto"/>
                <w:szCs w:val="24"/>
                <w:lang w:val="en-US" w:eastAsia="zh-CN"/>
              </w:rPr>
              <w:t>2.54万</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rPr>
              <w:t>，填方量</w:t>
            </w:r>
            <w:r>
              <w:rPr>
                <w:rFonts w:hint="eastAsia" w:cs="Times New Roman"/>
                <w:color w:val="auto"/>
                <w:szCs w:val="24"/>
                <w:lang w:val="en-US" w:eastAsia="zh-CN"/>
              </w:rPr>
              <w:t>2.28万</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rPr>
              <w:t>，弃方量</w:t>
            </w:r>
            <w:r>
              <w:rPr>
                <w:rFonts w:hint="eastAsia" w:cs="Times New Roman"/>
                <w:color w:val="auto"/>
                <w:szCs w:val="24"/>
                <w:lang w:val="en-US" w:eastAsia="zh-CN"/>
              </w:rPr>
              <w:t>2600</w:t>
            </w:r>
            <w:r>
              <w:rPr>
                <w:rFonts w:hint="default" w:ascii="Times New Roman" w:hAnsi="Times New Roman" w:cs="Times New Roman"/>
                <w:color w:val="auto"/>
                <w:szCs w:val="24"/>
              </w:rPr>
              <w:t>m</w:t>
            </w:r>
            <w:r>
              <w:rPr>
                <w:rFonts w:hint="default" w:ascii="Times New Roman" w:hAnsi="Times New Roman" w:cs="Times New Roman"/>
                <w:color w:val="auto"/>
                <w:szCs w:val="24"/>
                <w:vertAlign w:val="superscript"/>
              </w:rPr>
              <w:t>3</w:t>
            </w:r>
            <w:r>
              <w:rPr>
                <w:rFonts w:hint="default" w:ascii="Times New Roman" w:hAnsi="Times New Roman" w:cs="Times New Roman"/>
                <w:color w:val="auto"/>
                <w:szCs w:val="24"/>
              </w:rPr>
              <w:t>。</w:t>
            </w:r>
          </w:p>
          <w:p w14:paraId="2EC4060A">
            <w:pPr>
              <w:pStyle w:val="6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在本项目工程沿线起点及终点处，河道</w:t>
            </w:r>
            <w:r>
              <w:rPr>
                <w:rFonts w:hint="eastAsia" w:cs="Times New Roman"/>
                <w:color w:val="auto"/>
                <w:szCs w:val="24"/>
                <w:lang w:val="en-US" w:eastAsia="zh-CN"/>
              </w:rPr>
              <w:t>左</w:t>
            </w:r>
            <w:r>
              <w:rPr>
                <w:rFonts w:hint="default" w:ascii="Times New Roman" w:hAnsi="Times New Roman" w:cs="Times New Roman"/>
                <w:color w:val="auto"/>
                <w:szCs w:val="24"/>
              </w:rPr>
              <w:t>侧设临时堆土区，</w:t>
            </w:r>
            <w:r>
              <w:rPr>
                <w:rFonts w:hint="default" w:ascii="Times New Roman" w:hAnsi="Times New Roman" w:cs="Times New Roman"/>
                <w:color w:val="auto"/>
                <w:szCs w:val="24"/>
                <w:lang w:val="en-US" w:eastAsia="zh-CN"/>
              </w:rPr>
              <w:t>施工结束后</w:t>
            </w:r>
            <w:r>
              <w:rPr>
                <w:rFonts w:hint="default" w:ascii="Times New Roman" w:hAnsi="Times New Roman" w:cs="Times New Roman"/>
                <w:color w:val="auto"/>
                <w:szCs w:val="24"/>
              </w:rPr>
              <w:t>临时堆土区</w:t>
            </w:r>
            <w:r>
              <w:rPr>
                <w:rFonts w:hint="default" w:ascii="Times New Roman" w:hAnsi="Times New Roman" w:cs="Times New Roman"/>
                <w:color w:val="auto"/>
                <w:szCs w:val="24"/>
                <w:lang w:val="en-US" w:eastAsia="zh-CN"/>
              </w:rPr>
              <w:t>已拆除并</w:t>
            </w:r>
            <w:r>
              <w:rPr>
                <w:rFonts w:hint="default" w:ascii="Times New Roman" w:hAnsi="Times New Roman" w:cs="Times New Roman"/>
                <w:color w:val="auto"/>
                <w:szCs w:val="24"/>
              </w:rPr>
              <w:t>对场地进行全面整地并生态恢复。项目</w:t>
            </w:r>
            <w:r>
              <w:rPr>
                <w:rFonts w:hint="eastAsia" w:cs="Times New Roman"/>
                <w:color w:val="auto"/>
                <w:szCs w:val="24"/>
                <w:lang w:val="en-US" w:eastAsia="zh-CN"/>
              </w:rPr>
              <w:t>不</w:t>
            </w:r>
            <w:r>
              <w:rPr>
                <w:rFonts w:hint="default" w:ascii="Times New Roman" w:hAnsi="Times New Roman" w:cs="Times New Roman"/>
                <w:color w:val="auto"/>
                <w:szCs w:val="24"/>
              </w:rPr>
              <w:t>设</w:t>
            </w:r>
            <w:r>
              <w:rPr>
                <w:rFonts w:hint="eastAsia" w:cs="Times New Roman"/>
                <w:color w:val="auto"/>
                <w:szCs w:val="24"/>
                <w:lang w:val="en-US" w:eastAsia="zh-CN"/>
              </w:rPr>
              <w:t>置</w:t>
            </w:r>
            <w:r>
              <w:rPr>
                <w:rFonts w:hint="default" w:ascii="Times New Roman" w:hAnsi="Times New Roman" w:cs="Times New Roman"/>
                <w:color w:val="auto"/>
                <w:szCs w:val="24"/>
              </w:rPr>
              <w:t>弃土场，施工过程中产生弃土</w:t>
            </w:r>
            <w:r>
              <w:rPr>
                <w:rFonts w:hint="eastAsia" w:cs="Times New Roman"/>
                <w:color w:val="auto"/>
                <w:szCs w:val="24"/>
                <w:lang w:val="en-US" w:eastAsia="zh-CN"/>
              </w:rPr>
              <w:t>还田造地</w:t>
            </w:r>
            <w:r>
              <w:rPr>
                <w:rFonts w:hint="default" w:ascii="Times New Roman" w:hAnsi="Times New Roman" w:cs="Times New Roman"/>
                <w:color w:val="auto"/>
                <w:szCs w:val="24"/>
              </w:rPr>
              <w:t>。</w:t>
            </w:r>
          </w:p>
          <w:p w14:paraId="7DD670B9">
            <w:pPr>
              <w:pStyle w:val="60"/>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szCs w:val="24"/>
              </w:rPr>
            </w:pPr>
            <w:r>
              <w:rPr>
                <w:rFonts w:hint="default" w:ascii="Times New Roman" w:hAnsi="Times New Roman" w:cs="Times New Roman"/>
                <w:color w:val="auto"/>
                <w:szCs w:val="24"/>
              </w:rPr>
              <w:t>本工程施工临时占地尽量安排在河道及两侧工程管理范围内，减少临时工程占地压力。施工临时占地是与主体工程施工期间相配套的工程，短期内将影响沿线土地的现状利用性质，施工结束后</w:t>
            </w:r>
            <w:r>
              <w:rPr>
                <w:rFonts w:hint="default" w:ascii="Times New Roman" w:hAnsi="Times New Roman" w:cs="Times New Roman"/>
                <w:color w:val="auto"/>
              </w:rPr>
              <w:t>通过原地貌整治恢复措施，地表植被可以逐步得到恢复。</w:t>
            </w:r>
          </w:p>
          <w:p w14:paraId="3BA22CB5">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default" w:ascii="Times New Roman" w:hAnsi="Times New Roman" w:cs="Times New Roman"/>
                <w:color w:val="auto"/>
              </w:rPr>
              <w:t>由于工程占地面积占评价区域面积比例小，其对生态系统的这种影响的范围是局域的，其范围一般局限在施工区内部。另外，</w:t>
            </w:r>
            <w:r>
              <w:rPr>
                <w:rFonts w:hint="eastAsia" w:cs="Times New Roman"/>
                <w:color w:val="auto"/>
                <w:lang w:eastAsia="zh-CN"/>
              </w:rPr>
              <w:t>该地</w:t>
            </w:r>
            <w:r>
              <w:rPr>
                <w:rFonts w:hint="default" w:ascii="Times New Roman" w:hAnsi="Times New Roman" w:cs="Times New Roman"/>
                <w:color w:val="auto"/>
              </w:rPr>
              <w:t>区无国家级和区级保护植物分布，植物种类均为常见种类，不会对其种类产生较大的影响，</w:t>
            </w:r>
            <w:r>
              <w:rPr>
                <w:rFonts w:hint="eastAsia" w:cs="Times New Roman"/>
                <w:color w:val="auto"/>
                <w:lang w:val="en-US" w:eastAsia="zh-CN"/>
              </w:rPr>
              <w:t>待</w:t>
            </w:r>
            <w:r>
              <w:rPr>
                <w:rFonts w:hint="default" w:ascii="Times New Roman" w:hAnsi="Times New Roman" w:cs="Times New Roman"/>
                <w:color w:val="auto"/>
                <w:lang w:val="en-US" w:eastAsia="zh-CN"/>
              </w:rPr>
              <w:t>施工结束，</w:t>
            </w:r>
            <w:r>
              <w:rPr>
                <w:rFonts w:hint="default" w:ascii="Times New Roman" w:hAnsi="Times New Roman" w:cs="Times New Roman"/>
                <w:color w:val="auto"/>
              </w:rPr>
              <w:t>临时占地通过原地貌整治</w:t>
            </w:r>
            <w:r>
              <w:rPr>
                <w:rFonts w:hint="default" w:ascii="Times New Roman" w:hAnsi="Times New Roman" w:cs="Times New Roman"/>
                <w:color w:val="auto"/>
                <w:lang w:val="en-US" w:eastAsia="zh-CN"/>
              </w:rPr>
              <w:t>等</w:t>
            </w:r>
            <w:r>
              <w:rPr>
                <w:rFonts w:hint="default" w:ascii="Times New Roman" w:hAnsi="Times New Roman" w:cs="Times New Roman"/>
                <w:color w:val="auto"/>
              </w:rPr>
              <w:t>措施</w:t>
            </w:r>
            <w:r>
              <w:rPr>
                <w:rFonts w:hint="default" w:ascii="Times New Roman" w:hAnsi="Times New Roman" w:cs="Times New Roman"/>
                <w:color w:val="auto"/>
                <w:lang w:val="en-US" w:eastAsia="zh-CN"/>
              </w:rPr>
              <w:t>进行恢复</w:t>
            </w:r>
            <w:r>
              <w:rPr>
                <w:rFonts w:hint="default" w:ascii="Times New Roman" w:hAnsi="Times New Roman" w:cs="Times New Roman"/>
                <w:color w:val="auto"/>
              </w:rPr>
              <w:t>，地表植被逐步恢复。因此，临时占地对土壤、植被的影响较小。</w:t>
            </w:r>
          </w:p>
          <w:p w14:paraId="6570BF66">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（2）对陆生动植物的影响</w:t>
            </w:r>
          </w:p>
          <w:p w14:paraId="6E9D0976">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该区域仅有少量小动物和鸟类出没，没有列入国家和地方珍稀濒危保护类动物分布，施工时人为活动区域范围将增大，机械设备数量将逐渐增加，地表岩土被剥离，地表植被将被清除，依附其上的食草动物或昆虫等小型动物生境遭到破坏，进而影响到食物链上游的食肉动物的觅食和活动范围；其次，是施工作业、装载、运输等环节产生的扬尘、振动和噪声也对附近动物生理产生的直接影响。但由于动物迁徙能力强，且同类栖息地在附近易于寻找。由于各施工点工程量都不大，同时环评要求施工期必须采取保护措施，尽可能</w:t>
            </w:r>
            <w:r>
              <w:rPr>
                <w:rFonts w:hint="eastAsia"/>
                <w:color w:val="auto"/>
                <w:lang w:eastAsia="zh-CN"/>
              </w:rPr>
              <w:t>地</w:t>
            </w:r>
            <w:r>
              <w:rPr>
                <w:rFonts w:hint="eastAsia"/>
                <w:color w:val="auto"/>
              </w:rPr>
              <w:t>降低工程施工的不利影响，施工期仅</w:t>
            </w:r>
            <w:r>
              <w:rPr>
                <w:rFonts w:hint="eastAsia"/>
                <w:color w:val="auto"/>
                <w:lang w:val="en-US" w:eastAsia="zh-CN"/>
              </w:rPr>
              <w:t>8</w:t>
            </w:r>
            <w:r>
              <w:rPr>
                <w:rFonts w:hint="eastAsia"/>
                <w:color w:val="auto"/>
              </w:rPr>
              <w:t>个月，因而影响范围和程度有限，施工带来的不利影响将随着施工期的结束而终止。</w:t>
            </w:r>
          </w:p>
          <w:p w14:paraId="694CEA19">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（3）对水生生物的影响</w:t>
            </w:r>
          </w:p>
          <w:p w14:paraId="0DFE945A">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本次施工河段位于</w:t>
            </w:r>
            <w:r>
              <w:rPr>
                <w:rFonts w:hint="eastAsia"/>
                <w:color w:val="auto"/>
                <w:lang w:val="en-US" w:eastAsia="zh-CN"/>
              </w:rPr>
              <w:t>湑水河老县城村</w:t>
            </w:r>
            <w:r>
              <w:rPr>
                <w:rFonts w:hint="eastAsia"/>
                <w:color w:val="auto"/>
              </w:rPr>
              <w:t>段，属于人类长期频发活动区域，施工期可能引起的水土流失可导致水中悬浮物增加，从而对浮游生物、鱼类的生存环境造成不利影响，具体影响如下：</w:t>
            </w:r>
          </w:p>
          <w:p w14:paraId="4DBF89A5">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浮游生物：工程基坑开挖、施工导流等产生的废水和泥沙如不采取措施直接排放，会导致施工河段水体透明度及溶解氧降低，导致区域内浮游生物种类发生变化，使适应性强、耐污及耐缺氧浮游生物种类增加，进而种群结构发生改变。</w:t>
            </w:r>
          </w:p>
          <w:p w14:paraId="173EAF93">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底栖生物：底栖动物是水域水生生态系统中重要的水生生物类型之一，也是鱼类重要的饵料。工程建设中使局部底栖生物原有的栖息地破坏，生境面积缩小，生物量减少；工程建设导致泥沙下泄，造成下游河段的底质发生变化及水体溶解氧下降，工程施工期产生的污染物会对底栖生物产生一定的毒害作用，使下游河段底栖生物种类和数量减少。</w:t>
            </w:r>
          </w:p>
          <w:p w14:paraId="7A229F20">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鱼类资源：施工期间产生的泥沙、施工废水及施工人员生活污水处理不当可能会对工程区域水环境产生污染，导致水体水质变差，使得浮游生物、底栖动物等饵料的生物量减少，改变了原有鱼类的生存、生长和繁衍条件，正常生活的鱼类会主动回避，施工区域鱼类密度显著降低。</w:t>
            </w:r>
          </w:p>
          <w:p w14:paraId="7DC1C9D8">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由于本工程施工期集中在枯水期，由于各施工点工程量都不大，同时环评要求施工期必须采取保护措施，尽可能</w:t>
            </w:r>
            <w:r>
              <w:rPr>
                <w:rFonts w:hint="eastAsia"/>
                <w:color w:val="auto"/>
                <w:lang w:eastAsia="zh-CN"/>
              </w:rPr>
              <w:t>地</w:t>
            </w:r>
            <w:r>
              <w:rPr>
                <w:rFonts w:hint="eastAsia"/>
                <w:color w:val="auto"/>
              </w:rPr>
              <w:t>降低工程施工的不利影响，且施工期仅</w:t>
            </w:r>
            <w:r>
              <w:rPr>
                <w:rFonts w:hint="eastAsia"/>
                <w:color w:val="auto"/>
                <w:lang w:val="en-US" w:eastAsia="zh-CN"/>
              </w:rPr>
              <w:t>8</w:t>
            </w:r>
            <w:r>
              <w:rPr>
                <w:rFonts w:hint="eastAsia"/>
                <w:color w:val="auto"/>
              </w:rPr>
              <w:t>个月，因而影响范围和程度有限，施工带来的不利影响将随着施工期的结束而终止。</w:t>
            </w:r>
          </w:p>
          <w:p w14:paraId="524C4BBE">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w:t>
            </w:r>
            <w:r>
              <w:rPr>
                <w:color w:val="auto"/>
              </w:rPr>
              <w:t>4</w:t>
            </w:r>
            <w:r>
              <w:rPr>
                <w:rFonts w:hint="eastAsia"/>
                <w:color w:val="auto"/>
              </w:rPr>
              <w:t>）对</w:t>
            </w:r>
            <w:r>
              <w:rPr>
                <w:rFonts w:hint="eastAsia"/>
                <w:color w:val="auto"/>
                <w:lang w:val="en-US" w:eastAsia="zh-CN"/>
              </w:rPr>
              <w:t>陕西省周至县老县城自然</w:t>
            </w:r>
            <w:r>
              <w:rPr>
                <w:rFonts w:hint="eastAsia"/>
                <w:color w:val="auto"/>
              </w:rPr>
              <w:t>保护区的影响</w:t>
            </w:r>
          </w:p>
          <w:p w14:paraId="34C56979">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本项目为防洪治理工程，位于</w:t>
            </w:r>
            <w:r>
              <w:rPr>
                <w:rFonts w:hint="eastAsia"/>
                <w:color w:val="auto"/>
                <w:lang w:val="en-US" w:eastAsia="zh-CN"/>
              </w:rPr>
              <w:t>陕西省周至县老县城自然</w:t>
            </w:r>
            <w:r>
              <w:rPr>
                <w:rFonts w:hint="eastAsia"/>
                <w:color w:val="auto"/>
              </w:rPr>
              <w:t>保护区内。为预防施工期间河道上游降雨水位上涨，在主流靠岸段施工时，会提前布置导流围堰，可有效减缓施工对水生态的影响。由于工程量小、施工时间短，因而影响范围和影响程度有限，施工带来的不利影响也将随着施工期的结束而终止。因此，项目施工对</w:t>
            </w:r>
            <w:r>
              <w:rPr>
                <w:rFonts w:hint="eastAsia"/>
                <w:color w:val="auto"/>
                <w:lang w:val="en-US" w:eastAsia="zh-CN"/>
              </w:rPr>
              <w:t>陕西省周至县老县城自然</w:t>
            </w:r>
            <w:r>
              <w:rPr>
                <w:rFonts w:hint="eastAsia"/>
                <w:color w:val="auto"/>
              </w:rPr>
              <w:t>保护区的影响较小。</w:t>
            </w:r>
          </w:p>
          <w:p w14:paraId="654AB457">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w:t>
            </w:r>
            <w:r>
              <w:rPr>
                <w:color w:val="auto"/>
              </w:rPr>
              <w:t>5</w:t>
            </w:r>
            <w:r>
              <w:rPr>
                <w:rFonts w:hint="eastAsia"/>
                <w:color w:val="auto"/>
              </w:rPr>
              <w:t>）对水土流失的影响</w:t>
            </w:r>
          </w:p>
          <w:p w14:paraId="5E60286B">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项目建设过程将扰动地表，损坏原地貌及植被，使土壤水土保持功能下降，将可能产生水土流失；同时产生的弃土、弃石渣如不采取必要的防治措施，将产生弃渣流失量。</w:t>
            </w:r>
          </w:p>
          <w:p w14:paraId="2E973F1A">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w:t>
            </w:r>
            <w:r>
              <w:rPr>
                <w:color w:val="auto"/>
              </w:rPr>
              <w:t>6</w:t>
            </w:r>
            <w:r>
              <w:rPr>
                <w:rFonts w:hint="eastAsia"/>
                <w:color w:val="auto"/>
              </w:rPr>
              <w:t>）对水文情势的影响</w:t>
            </w:r>
          </w:p>
          <w:p w14:paraId="4BC274F1">
            <w:pPr>
              <w:pStyle w:val="37"/>
              <w:keepNext w:val="0"/>
              <w:keepLines w:val="0"/>
              <w:pageBreakBefore w:val="0"/>
              <w:widowControl w:val="0"/>
              <w:kinsoku/>
              <w:wordWrap/>
              <w:overflowPunct/>
              <w:topLinePunct w:val="0"/>
              <w:autoSpaceDE/>
              <w:autoSpaceDN/>
              <w:bidi w:val="0"/>
              <w:adjustRightInd/>
              <w:snapToGrid/>
              <w:spacing w:line="360" w:lineRule="auto"/>
              <w:ind w:firstLine="480"/>
              <w:textAlignment w:val="auto"/>
              <w:rPr>
                <w:color w:val="auto"/>
              </w:rPr>
            </w:pPr>
            <w:r>
              <w:rPr>
                <w:rFonts w:hint="eastAsia"/>
                <w:color w:val="auto"/>
              </w:rPr>
              <w:t>项目主体工程建设范围为</w:t>
            </w:r>
            <w:r>
              <w:rPr>
                <w:rFonts w:hint="eastAsia"/>
                <w:color w:val="auto"/>
                <w:lang w:val="en-US" w:eastAsia="zh-CN"/>
              </w:rPr>
              <w:t>湑水河老县城村段</w:t>
            </w:r>
            <w:r>
              <w:rPr>
                <w:rFonts w:hint="eastAsia"/>
                <w:color w:val="auto"/>
              </w:rPr>
              <w:t>，不涉及河道，项目施工期主要集中在枯水期，届时河道水流量较小，主流靠岸段修建</w:t>
            </w:r>
            <w:r>
              <w:rPr>
                <w:rFonts w:hint="eastAsia"/>
                <w:color w:val="auto"/>
                <w:lang w:val="en-US" w:eastAsia="zh-CN"/>
              </w:rPr>
              <w:t>护岸</w:t>
            </w:r>
            <w:r>
              <w:rPr>
                <w:rFonts w:hint="eastAsia"/>
                <w:color w:val="auto"/>
              </w:rPr>
              <w:t>工程时，设置导流围堰。施工设置的围堰虽然会造成河道过水断面减小，但围堰紧邻岸边，占用行水道很小，不影响河道过流能力，基本不会对下游水文情势产生不利影响。</w:t>
            </w:r>
          </w:p>
        </w:tc>
      </w:tr>
      <w:tr w14:paraId="1EF0A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147927D8">
            <w:pPr>
              <w:pStyle w:val="37"/>
              <w:ind w:firstLine="0" w:firstLineChars="0"/>
              <w:jc w:val="center"/>
              <w:rPr>
                <w:color w:val="auto"/>
              </w:rPr>
            </w:pPr>
            <w:r>
              <w:rPr>
                <w:rFonts w:hint="eastAsia"/>
                <w:color w:val="auto"/>
              </w:rPr>
              <w:t>运营期生态环境影响分析</w:t>
            </w:r>
          </w:p>
        </w:tc>
        <w:tc>
          <w:tcPr>
            <w:tcW w:w="8216" w:type="dxa"/>
            <w:tcBorders>
              <w:top w:val="single" w:color="auto" w:sz="4" w:space="0"/>
            </w:tcBorders>
            <w:vAlign w:val="center"/>
          </w:tcPr>
          <w:p w14:paraId="7B056FDE">
            <w:pPr>
              <w:pStyle w:val="37"/>
              <w:ind w:firstLine="480"/>
              <w:rPr>
                <w:color w:val="auto"/>
              </w:rPr>
            </w:pPr>
            <w:r>
              <w:rPr>
                <w:rFonts w:hint="eastAsia"/>
                <w:color w:val="auto"/>
              </w:rPr>
              <w:t>本项目为防洪工程，运营期无污染物产生，因此不进行评价，工程运行对环境的影响主要表现为对水文情势和生态环境的影响。</w:t>
            </w:r>
          </w:p>
          <w:p w14:paraId="01050E99">
            <w:pPr>
              <w:pStyle w:val="37"/>
              <w:ind w:firstLine="482"/>
              <w:rPr>
                <w:b/>
                <w:bCs/>
                <w:color w:val="auto"/>
              </w:rPr>
            </w:pPr>
            <w:r>
              <w:rPr>
                <w:rFonts w:hint="eastAsia"/>
                <w:b/>
                <w:bCs/>
                <w:color w:val="auto"/>
              </w:rPr>
              <w:t>1、工程运行对水文情势的影响分析</w:t>
            </w:r>
          </w:p>
          <w:p w14:paraId="07AFA71A">
            <w:pPr>
              <w:pStyle w:val="37"/>
              <w:ind w:firstLine="480"/>
              <w:rPr>
                <w:color w:val="auto"/>
              </w:rPr>
            </w:pPr>
            <w:r>
              <w:rPr>
                <w:rFonts w:hint="eastAsia"/>
                <w:color w:val="auto"/>
              </w:rPr>
              <w:t>本项目为防洪工程，项目建设对水文情势的影响主要为正影响。项目的实施可提高河道沿岸防洪标准，同时通过加大部分河段堤距，改善河道行洪现状。工程走势与河道流势相适应，并与大洪水的主流线大致平行。相较于现状河道宽窄不一，导致行洪不畅，本项目布置基本沿现有河岸线布置，布置时力求平面形态顺畅，不改变天然河道走向，布置方案均采取对河道流势影响较小的方案。工程建设不存在设置阻隔河道行洪的蓄水建筑物，工程建成前后，大部分河道水位、河宽、过流面积、水深和流速变化很小，大部分河段水文参数与工程建设前天然河道相差不大。因此，本项目运营期对河道水文情势具有正效应。</w:t>
            </w:r>
          </w:p>
          <w:p w14:paraId="5F763EE6">
            <w:pPr>
              <w:pStyle w:val="37"/>
              <w:ind w:firstLine="482"/>
              <w:rPr>
                <w:b/>
                <w:bCs/>
                <w:color w:val="auto"/>
              </w:rPr>
            </w:pPr>
            <w:r>
              <w:rPr>
                <w:rFonts w:hint="eastAsia"/>
                <w:b/>
                <w:bCs/>
                <w:color w:val="auto"/>
              </w:rPr>
              <w:t>2、河道冲淤变化影响分析</w:t>
            </w:r>
          </w:p>
          <w:p w14:paraId="13BADEAF">
            <w:pPr>
              <w:pStyle w:val="37"/>
              <w:ind w:firstLine="480"/>
              <w:rPr>
                <w:color w:val="auto"/>
              </w:rPr>
            </w:pPr>
            <w:r>
              <w:rPr>
                <w:rFonts w:hint="eastAsia"/>
                <w:color w:val="auto"/>
              </w:rPr>
              <w:t>本工程建成后，随着护岸工程布设，河岸塌岸、滑坡现象会减少，能够一定程度减少河段泥沙下泄量，由于河道主流相对稳定，部分河段冲刷较工程建设前会增加。本工程建设和运行不改变堤线位置，不压占行洪通道，不缩窄河道宽度，因此，工程的建设不会造成河床较大冲淤变化。</w:t>
            </w:r>
          </w:p>
          <w:p w14:paraId="10F95149">
            <w:pPr>
              <w:pStyle w:val="37"/>
              <w:ind w:firstLine="482"/>
              <w:rPr>
                <w:b/>
                <w:bCs/>
                <w:color w:val="auto"/>
              </w:rPr>
            </w:pPr>
            <w:r>
              <w:rPr>
                <w:rFonts w:hint="eastAsia"/>
                <w:b/>
                <w:bCs/>
                <w:color w:val="auto"/>
              </w:rPr>
              <w:t>3、运营期生态环境影响分析</w:t>
            </w:r>
          </w:p>
          <w:p w14:paraId="7E6A3B13">
            <w:pPr>
              <w:pStyle w:val="37"/>
              <w:ind w:firstLine="480"/>
              <w:rPr>
                <w:color w:val="auto"/>
              </w:rPr>
            </w:pPr>
            <w:r>
              <w:rPr>
                <w:rFonts w:hint="eastAsia"/>
                <w:color w:val="auto"/>
              </w:rPr>
              <w:t>本项目的实施可完善村镇防洪体系，提高防洪标准，保障工程沿线人民财产安全，改善村镇生态环境，对区域生态环境影响具有正效应。</w:t>
            </w:r>
          </w:p>
          <w:p w14:paraId="1F202BC0">
            <w:pPr>
              <w:pStyle w:val="37"/>
              <w:ind w:firstLine="480"/>
              <w:rPr>
                <w:color w:val="auto"/>
              </w:rPr>
            </w:pPr>
            <w:r>
              <w:rPr>
                <w:rFonts w:hint="eastAsia"/>
                <w:color w:val="auto"/>
              </w:rPr>
              <w:t>（1）对区域植被、景观的提升影响</w:t>
            </w:r>
          </w:p>
          <w:p w14:paraId="022D4E16">
            <w:pPr>
              <w:pStyle w:val="37"/>
              <w:ind w:firstLine="480"/>
              <w:rPr>
                <w:color w:val="auto"/>
              </w:rPr>
            </w:pPr>
            <w:r>
              <w:rPr>
                <w:rFonts w:hint="eastAsia"/>
                <w:color w:val="auto"/>
              </w:rPr>
              <w:t>河堤景观生态修复、绿化工程的实施以及施工结束后临时占地的生态恢复将在一定程度上补偿造成的生态损失，有利于提高区域的生态环境及景观环境质量。随着植被的逐渐恢复和环境的改善，部分迁走的动物将逐渐返回，区域生物量将逐年增加，基本可以恢复到建设前的水平。同时，与工程建设前相比，杂草和灌木丛被休闲观赏性绿地、湿地景观代替，区域生物量将增加，观赏价值、美化景观的效果大大增加，景观环境质量有所改善。同时，由于绿化工程多数为乔、灌木、草相结合，区域生态服务功能也相对原来的草灌有所增加。</w:t>
            </w:r>
          </w:p>
          <w:p w14:paraId="0E7606D7">
            <w:pPr>
              <w:pStyle w:val="37"/>
              <w:ind w:firstLine="480"/>
              <w:rPr>
                <w:color w:val="auto"/>
              </w:rPr>
            </w:pPr>
            <w:r>
              <w:rPr>
                <w:rFonts w:hint="eastAsia"/>
                <w:color w:val="auto"/>
              </w:rPr>
              <w:t>项目建成后，因工程施工而遭到破坏的地形、植被，将随水利工程、景观生态修复工程以及绿化工程、河道平整结束后水域恢复工程的竣工而消除，由于绿化工程、生态修复工程的完成，区域生物多样性也随之增加，同时由于精心规划了区域的景观环境，项目区域的景观环境将变得更加优美。</w:t>
            </w:r>
          </w:p>
          <w:p w14:paraId="219A60CB">
            <w:pPr>
              <w:pStyle w:val="37"/>
              <w:ind w:firstLine="480"/>
              <w:rPr>
                <w:color w:val="auto"/>
              </w:rPr>
            </w:pPr>
            <w:r>
              <w:rPr>
                <w:rFonts w:hint="eastAsia"/>
                <w:color w:val="auto"/>
              </w:rPr>
              <w:t>（2）对区域生态系统的影响</w:t>
            </w:r>
          </w:p>
          <w:p w14:paraId="0E56B6F3">
            <w:pPr>
              <w:pStyle w:val="37"/>
              <w:ind w:firstLine="480"/>
              <w:rPr>
                <w:color w:val="auto"/>
              </w:rPr>
            </w:pPr>
            <w:r>
              <w:rPr>
                <w:rFonts w:hint="eastAsia"/>
                <w:color w:val="auto"/>
              </w:rPr>
              <w:t>通过本项目的建设，在保护好项目范围内的自然资源前提下，进行适度的种植、修复，将使得片区水资源和生态状况得到有效</w:t>
            </w:r>
            <w:r>
              <w:rPr>
                <w:rFonts w:hint="eastAsia"/>
                <w:color w:val="auto"/>
                <w:lang w:eastAsia="zh-CN"/>
              </w:rPr>
              <w:t>地</w:t>
            </w:r>
            <w:r>
              <w:rPr>
                <w:rFonts w:hint="eastAsia"/>
                <w:color w:val="auto"/>
              </w:rPr>
              <w:t>保护。</w:t>
            </w:r>
            <w:r>
              <w:rPr>
                <w:rFonts w:hint="eastAsia"/>
                <w:color w:val="auto"/>
                <w:lang w:eastAsia="zh-CN"/>
              </w:rPr>
              <w:t>堤防</w:t>
            </w:r>
            <w:r>
              <w:rPr>
                <w:rFonts w:hint="eastAsia"/>
                <w:color w:val="auto"/>
              </w:rPr>
              <w:t>种植的植物具有吸热、</w:t>
            </w:r>
            <w:r>
              <w:rPr>
                <w:rFonts w:hint="eastAsia"/>
                <w:color w:val="auto"/>
                <w:lang w:eastAsia="zh-CN"/>
              </w:rPr>
              <w:t>遮阴</w:t>
            </w:r>
            <w:r>
              <w:rPr>
                <w:rFonts w:hint="eastAsia"/>
                <w:color w:val="auto"/>
              </w:rPr>
              <w:t>、净化空气和增加空气湿度的作用，它能吸收CO</w:t>
            </w:r>
            <w:r>
              <w:rPr>
                <w:rFonts w:hint="eastAsia"/>
                <w:color w:val="auto"/>
                <w:vertAlign w:val="subscript"/>
              </w:rPr>
              <w:t>2</w:t>
            </w:r>
            <w:r>
              <w:rPr>
                <w:rFonts w:hint="eastAsia"/>
                <w:color w:val="auto"/>
              </w:rPr>
              <w:t>、SO</w:t>
            </w:r>
            <w:r>
              <w:rPr>
                <w:rFonts w:hint="eastAsia"/>
                <w:color w:val="auto"/>
                <w:vertAlign w:val="subscript"/>
              </w:rPr>
              <w:t>2</w:t>
            </w:r>
            <w:r>
              <w:rPr>
                <w:rFonts w:hint="eastAsia"/>
                <w:color w:val="auto"/>
              </w:rPr>
              <w:t>、NO</w:t>
            </w:r>
            <w:r>
              <w:rPr>
                <w:color w:val="auto"/>
                <w:vertAlign w:val="subscript"/>
              </w:rPr>
              <w:t>X</w:t>
            </w:r>
            <w:r>
              <w:rPr>
                <w:rFonts w:hint="eastAsia"/>
                <w:color w:val="auto"/>
              </w:rPr>
              <w:t>、粉尘等大气污染物，并释放氧气，由此改善局部区域的环境空气。</w:t>
            </w:r>
          </w:p>
          <w:p w14:paraId="11631167">
            <w:pPr>
              <w:pStyle w:val="37"/>
              <w:ind w:firstLine="480"/>
              <w:rPr>
                <w:color w:val="auto"/>
              </w:rPr>
            </w:pPr>
            <w:r>
              <w:rPr>
                <w:rFonts w:hint="eastAsia"/>
                <w:color w:val="auto"/>
              </w:rPr>
              <w:t>根据当地气候状况，土壤条件，考虑现状植被及分布，结合景观规划构想，生态防护功能要求等，全面绿化，将会大大改善整片区的生态环境。</w:t>
            </w:r>
          </w:p>
          <w:p w14:paraId="7686270A">
            <w:pPr>
              <w:pStyle w:val="37"/>
              <w:ind w:firstLine="480"/>
              <w:rPr>
                <w:color w:val="auto"/>
              </w:rPr>
            </w:pPr>
            <w:r>
              <w:rPr>
                <w:rFonts w:hint="eastAsia"/>
                <w:color w:val="auto"/>
              </w:rPr>
              <w:t>（3）对生物多样性的影响</w:t>
            </w:r>
          </w:p>
          <w:p w14:paraId="62BB930D">
            <w:pPr>
              <w:pStyle w:val="37"/>
              <w:ind w:firstLine="480"/>
              <w:rPr>
                <w:color w:val="auto"/>
              </w:rPr>
            </w:pPr>
            <w:r>
              <w:rPr>
                <w:rFonts w:hint="eastAsia"/>
                <w:color w:val="auto"/>
              </w:rPr>
              <w:t>植被绿化提升可以显著提高单位面积的生态公益性能，使其在区域生态稳定性维护机制建设方面发挥更大的作用，动物也将得到更好的繁衍，生物的多样性必将得到</w:t>
            </w:r>
            <w:r>
              <w:rPr>
                <w:rFonts w:hint="eastAsia"/>
                <w:color w:val="auto"/>
                <w:lang w:eastAsia="zh-CN"/>
              </w:rPr>
              <w:t>更加好</w:t>
            </w:r>
            <w:r>
              <w:rPr>
                <w:rFonts w:hint="eastAsia"/>
                <w:color w:val="auto"/>
              </w:rPr>
              <w:t>的恢复。生物多样性的恢复和发展将进一步促进植物群落的稳定和生态功能的进一步提高，更好</w:t>
            </w:r>
            <w:r>
              <w:rPr>
                <w:rFonts w:hint="eastAsia"/>
                <w:color w:val="auto"/>
                <w:lang w:eastAsia="zh-CN"/>
              </w:rPr>
              <w:t>地</w:t>
            </w:r>
            <w:r>
              <w:rPr>
                <w:rFonts w:hint="eastAsia"/>
                <w:color w:val="auto"/>
              </w:rPr>
              <w:t>造福人类。</w:t>
            </w:r>
          </w:p>
          <w:p w14:paraId="586BCAAB">
            <w:pPr>
              <w:pStyle w:val="37"/>
              <w:ind w:firstLine="480"/>
              <w:rPr>
                <w:color w:val="auto"/>
              </w:rPr>
            </w:pPr>
            <w:r>
              <w:rPr>
                <w:rFonts w:hint="eastAsia"/>
                <w:color w:val="auto"/>
              </w:rPr>
              <w:t>（4）绿化分析</w:t>
            </w:r>
          </w:p>
          <w:p w14:paraId="246D11F2">
            <w:pPr>
              <w:pStyle w:val="37"/>
              <w:ind w:firstLine="480"/>
              <w:rPr>
                <w:color w:val="auto"/>
              </w:rPr>
            </w:pPr>
            <w:r>
              <w:rPr>
                <w:rFonts w:hint="eastAsia"/>
                <w:color w:val="auto"/>
              </w:rPr>
              <w:t>本工程建成后，对主体工程段、施工道路、施工场区均进行栽植草种，恢复植被。采取此措施后，可减少护岸侧水土流失，降低地表水体中悬浮物及含沙量，汛期河道内水流流速增大，可提高水体自净能力，改善水质，同时可提高区域绿化效果，同时可利用堤坝进行观景，使沿线河道整洁、美观，为沿线生态景观增添一道美丽的风景。</w:t>
            </w:r>
          </w:p>
        </w:tc>
      </w:tr>
      <w:tr w14:paraId="6E4A7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79" w:hRule="atLeast"/>
          <w:jc w:val="center"/>
        </w:trPr>
        <w:tc>
          <w:tcPr>
            <w:tcW w:w="818" w:type="dxa"/>
            <w:vAlign w:val="center"/>
          </w:tcPr>
          <w:p w14:paraId="5A165645">
            <w:pPr>
              <w:pStyle w:val="37"/>
              <w:ind w:firstLine="0" w:firstLineChars="0"/>
              <w:jc w:val="center"/>
              <w:rPr>
                <w:color w:val="auto"/>
              </w:rPr>
            </w:pPr>
            <w:r>
              <w:rPr>
                <w:rFonts w:hint="eastAsia"/>
                <w:color w:val="auto"/>
              </w:rPr>
              <w:t>选址选线环境合理性分析</w:t>
            </w:r>
          </w:p>
        </w:tc>
        <w:tc>
          <w:tcPr>
            <w:tcW w:w="8216" w:type="dxa"/>
            <w:vAlign w:val="center"/>
          </w:tcPr>
          <w:p w14:paraId="31557409">
            <w:pPr>
              <w:pStyle w:val="37"/>
              <w:ind w:firstLine="482"/>
              <w:rPr>
                <w:b/>
                <w:bCs/>
                <w:color w:val="auto"/>
              </w:rPr>
            </w:pPr>
            <w:r>
              <w:rPr>
                <w:rFonts w:hint="eastAsia"/>
                <w:b/>
                <w:bCs/>
                <w:color w:val="auto"/>
              </w:rPr>
              <w:t>1、工程选址合理性分析</w:t>
            </w:r>
          </w:p>
          <w:p w14:paraId="21884025">
            <w:pPr>
              <w:pStyle w:val="37"/>
              <w:ind w:firstLine="480"/>
              <w:rPr>
                <w:color w:val="auto"/>
              </w:rPr>
            </w:pPr>
            <w:r>
              <w:rPr>
                <w:rFonts w:hint="eastAsia"/>
                <w:color w:val="auto"/>
              </w:rPr>
              <w:t>项目建设内容主要为护岸工程，主要任务为防洪，控制河势，提高河道沿岸防洪标准，工程须沿河道走向布设，选线唯一，无其他可比选的堤线方案。</w:t>
            </w:r>
          </w:p>
          <w:p w14:paraId="72CDDC2C">
            <w:pPr>
              <w:pStyle w:val="37"/>
              <w:ind w:firstLine="480"/>
              <w:rPr>
                <w:color w:val="auto"/>
              </w:rPr>
            </w:pPr>
            <w:r>
              <w:rPr>
                <w:rFonts w:hint="eastAsia"/>
                <w:color w:val="auto"/>
              </w:rPr>
              <w:t>工程以防洪为重点，工程任务是完善镇区防洪体系，保障防护区内人民财产安全，确保农业生产的正常生产秩序和保护现状已建景观工程、改善该区域生态环境。工程建设属于《陕西省中小河流治理“十三五”专项规划》及《水利部国家发展改革委财政部关于印发</w:t>
            </w:r>
            <w:r>
              <w:rPr>
                <w:rFonts w:hint="eastAsia"/>
                <w:color w:val="auto"/>
                <w:lang w:eastAsia="zh-CN"/>
              </w:rPr>
              <w:t>〈</w:t>
            </w:r>
            <w:r>
              <w:rPr>
                <w:rFonts w:hint="eastAsia"/>
                <w:color w:val="auto"/>
              </w:rPr>
              <w:t>加快灾后水利薄弱环节建设实施方案</w:t>
            </w:r>
            <w:r>
              <w:rPr>
                <w:rFonts w:hint="eastAsia"/>
                <w:color w:val="auto"/>
                <w:lang w:eastAsia="zh-CN"/>
              </w:rPr>
              <w:t>〉</w:t>
            </w:r>
            <w:r>
              <w:rPr>
                <w:rFonts w:hint="eastAsia"/>
                <w:color w:val="auto"/>
              </w:rPr>
              <w:t>的通知》等相关文件中的重要治理河段之一。</w:t>
            </w:r>
          </w:p>
          <w:p w14:paraId="499FFE19">
            <w:pPr>
              <w:pStyle w:val="37"/>
              <w:ind w:firstLine="480"/>
              <w:rPr>
                <w:color w:val="auto"/>
              </w:rPr>
            </w:pPr>
            <w:r>
              <w:rPr>
                <w:rFonts w:hint="eastAsia"/>
                <w:color w:val="auto"/>
              </w:rPr>
              <w:t>本项目为防洪治理工程，位于</w:t>
            </w:r>
            <w:r>
              <w:rPr>
                <w:rFonts w:hint="eastAsia"/>
                <w:color w:val="auto"/>
                <w:lang w:val="en-US" w:eastAsia="zh-CN"/>
              </w:rPr>
              <w:t>陕西省周至县老县城自然</w:t>
            </w:r>
            <w:r>
              <w:rPr>
                <w:rFonts w:hint="eastAsia"/>
                <w:color w:val="auto"/>
              </w:rPr>
              <w:t>保护区内。为预防施工期间河道上游降雨水位上涨，在主流靠岸段施工时，会提前布置导流围堰，可有效减缓施工对水生态的影响。由于工程量小、施工时间短，因而影响范围和影响程度有限，施工带来的不利影响也将随着施工期的结束而终止。因此，项目施工对</w:t>
            </w:r>
            <w:r>
              <w:rPr>
                <w:rFonts w:hint="eastAsia"/>
                <w:color w:val="auto"/>
                <w:lang w:val="en-US" w:eastAsia="zh-CN"/>
              </w:rPr>
              <w:t>陕西省周至县老县城自然</w:t>
            </w:r>
            <w:r>
              <w:rPr>
                <w:rFonts w:hint="eastAsia"/>
                <w:color w:val="auto"/>
              </w:rPr>
              <w:t>保护区的影响较小。</w:t>
            </w:r>
          </w:p>
          <w:p w14:paraId="23AFE78D">
            <w:pPr>
              <w:pStyle w:val="37"/>
              <w:ind w:firstLine="480"/>
              <w:rPr>
                <w:color w:val="auto"/>
              </w:rPr>
            </w:pPr>
            <w:r>
              <w:rPr>
                <w:rFonts w:hint="eastAsia"/>
                <w:color w:val="auto"/>
              </w:rPr>
              <w:t>本项目为防洪工程，项目建成后可减轻流域水土流失，本工程的实施将改善区域水域及陆域生态环境、促进河道生机和活力恢复、提高河道防洪、行洪能力，同时为周边居民稳定的生产、生活环境提供了保障。本工程通过新建堤防，对改善人居环境，提升地块价值，拓展区内发展空间，支持区域性特大城市建设有重要作用。</w:t>
            </w:r>
          </w:p>
          <w:p w14:paraId="323AEA53">
            <w:pPr>
              <w:pStyle w:val="37"/>
              <w:ind w:firstLine="480"/>
              <w:rPr>
                <w:color w:val="auto"/>
              </w:rPr>
            </w:pPr>
            <w:r>
              <w:rPr>
                <w:rFonts w:hint="eastAsia"/>
                <w:color w:val="auto"/>
              </w:rPr>
              <w:t>综上所述，项目从规划合理性、占地合理性及环境保护正效益角度分析，选址选线均符合相关要求。</w:t>
            </w:r>
          </w:p>
          <w:p w14:paraId="1742D0C2">
            <w:pPr>
              <w:pStyle w:val="37"/>
              <w:ind w:firstLine="482"/>
              <w:rPr>
                <w:bCs/>
                <w:color w:val="auto"/>
              </w:rPr>
            </w:pPr>
          </w:p>
        </w:tc>
      </w:tr>
    </w:tbl>
    <w:p w14:paraId="1A463CFA">
      <w:pPr>
        <w:ind w:firstLine="480"/>
        <w:rPr>
          <w:color w:val="auto"/>
        </w:rPr>
        <w:sectPr>
          <w:pgSz w:w="11906" w:h="16838"/>
          <w:pgMar w:top="1440" w:right="1559" w:bottom="1440" w:left="1531" w:header="851" w:footer="992" w:gutter="0"/>
          <w:cols w:space="425" w:num="1"/>
          <w:docGrid w:type="lines" w:linePitch="326" w:charSpace="0"/>
        </w:sectPr>
      </w:pPr>
    </w:p>
    <w:p w14:paraId="0E72BBF8">
      <w:pPr>
        <w:pStyle w:val="29"/>
        <w:rPr>
          <w:snapToGrid w:val="0"/>
          <w:color w:val="auto"/>
        </w:rPr>
      </w:pPr>
      <w:r>
        <w:rPr>
          <w:rFonts w:hint="eastAsia"/>
          <w:snapToGrid w:val="0"/>
          <w:color w:val="auto"/>
        </w:rPr>
        <w:t>五、主要生态环境保护措施</w:t>
      </w:r>
    </w:p>
    <w:tbl>
      <w:tblPr>
        <w:tblStyle w:val="19"/>
        <w:tblW w:w="500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8"/>
        <w:gridCol w:w="8216"/>
      </w:tblGrid>
      <w:tr w14:paraId="2C603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7E5E3467">
            <w:pPr>
              <w:pStyle w:val="37"/>
              <w:ind w:firstLine="0" w:firstLineChars="0"/>
              <w:jc w:val="center"/>
              <w:rPr>
                <w:color w:val="auto"/>
              </w:rPr>
            </w:pPr>
            <w:r>
              <w:rPr>
                <w:rFonts w:hint="eastAsia"/>
                <w:color w:val="auto"/>
              </w:rPr>
              <w:t>施工期生态环境保护措施</w:t>
            </w:r>
          </w:p>
        </w:tc>
        <w:tc>
          <w:tcPr>
            <w:tcW w:w="8216" w:type="dxa"/>
            <w:vAlign w:val="center"/>
          </w:tcPr>
          <w:p w14:paraId="193AE5E2">
            <w:pPr>
              <w:pStyle w:val="37"/>
              <w:ind w:firstLine="480"/>
              <w:jc w:val="left"/>
              <w:rPr>
                <w:b/>
                <w:bCs/>
                <w:color w:val="auto"/>
              </w:rPr>
            </w:pPr>
            <w:r>
              <w:rPr>
                <w:b/>
                <w:bCs/>
                <w:color w:val="auto"/>
              </w:rPr>
              <w:t>1</w:t>
            </w:r>
            <w:r>
              <w:rPr>
                <w:rFonts w:hint="eastAsia"/>
                <w:b/>
                <w:bCs/>
                <w:color w:val="auto"/>
              </w:rPr>
              <w:t>、施工废气污染防治措施</w:t>
            </w:r>
          </w:p>
          <w:p w14:paraId="15898359">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（1）施工扬尘污染防治措施</w:t>
            </w:r>
          </w:p>
          <w:p w14:paraId="2B77D248">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为了减缓施工扬尘对周围环境空气的影响，根据《陕西省大气污染防治条例</w:t>
            </w:r>
            <w:r>
              <w:rPr>
                <w:rFonts w:hint="eastAsia"/>
                <w:color w:val="auto"/>
                <w:lang w:eastAsia="zh-CN"/>
              </w:rPr>
              <w:t>》《</w:t>
            </w:r>
            <w:r>
              <w:rPr>
                <w:rFonts w:hint="eastAsia"/>
                <w:color w:val="auto"/>
              </w:rPr>
              <w:t>陕西省人民政府关于印发</w:t>
            </w:r>
            <w:r>
              <w:rPr>
                <w:rFonts w:hint="eastAsia"/>
                <w:color w:val="auto"/>
                <w:lang w:eastAsia="zh-CN"/>
              </w:rPr>
              <w:t>〈</w:t>
            </w:r>
            <w:r>
              <w:rPr>
                <w:rFonts w:hint="eastAsia"/>
                <w:color w:val="auto"/>
              </w:rPr>
              <w:t>陕西省全面改善城市空气质量工作方案</w:t>
            </w:r>
            <w:r>
              <w:rPr>
                <w:rFonts w:hint="eastAsia"/>
                <w:color w:val="auto"/>
                <w:lang w:eastAsia="zh-CN"/>
              </w:rPr>
              <w:t>〉</w:t>
            </w:r>
            <w:r>
              <w:rPr>
                <w:rFonts w:hint="eastAsia"/>
                <w:color w:val="auto"/>
              </w:rPr>
              <w:t>的通知</w:t>
            </w:r>
            <w:r>
              <w:rPr>
                <w:rFonts w:hint="eastAsia"/>
                <w:color w:val="auto"/>
                <w:lang w:eastAsia="zh-CN"/>
              </w:rPr>
              <w:t>》《</w:t>
            </w:r>
            <w:r>
              <w:rPr>
                <w:rFonts w:hint="eastAsia"/>
                <w:color w:val="auto"/>
              </w:rPr>
              <w:t>陕西省城市空气重污染日应急方案（暂行）</w:t>
            </w:r>
            <w:r>
              <w:rPr>
                <w:rFonts w:hint="eastAsia"/>
                <w:color w:val="auto"/>
                <w:lang w:eastAsia="zh-CN"/>
              </w:rPr>
              <w:t>》《</w:t>
            </w:r>
            <w:r>
              <w:rPr>
                <w:rFonts w:hint="eastAsia"/>
                <w:color w:val="auto"/>
              </w:rPr>
              <w:t>陕西省扬尘污染专项整治行动方案</w:t>
            </w:r>
            <w:r>
              <w:rPr>
                <w:rFonts w:hint="eastAsia"/>
                <w:color w:val="auto"/>
                <w:lang w:eastAsia="zh-CN"/>
              </w:rPr>
              <w:t>》《</w:t>
            </w:r>
            <w:r>
              <w:rPr>
                <w:rFonts w:hint="eastAsia"/>
                <w:color w:val="auto"/>
              </w:rPr>
              <w:t>陕西省建筑施工扬尘治理行动方案</w:t>
            </w:r>
            <w:r>
              <w:rPr>
                <w:rFonts w:hint="eastAsia"/>
                <w:color w:val="auto"/>
                <w:lang w:eastAsia="zh-CN"/>
              </w:rPr>
              <w:t>》《</w:t>
            </w:r>
            <w:r>
              <w:rPr>
                <w:rFonts w:hint="eastAsia"/>
                <w:color w:val="auto"/>
              </w:rPr>
              <w:t>陕西省建筑施工扬尘治理措施16条》以及</w:t>
            </w:r>
            <w:bookmarkStart w:id="5" w:name="_GoBack"/>
            <w:bookmarkEnd w:id="5"/>
            <w:r>
              <w:rPr>
                <w:rFonts w:hint="eastAsia"/>
                <w:color w:val="auto"/>
                <w:lang w:eastAsia="zh-CN"/>
              </w:rPr>
              <w:t>《</w:t>
            </w:r>
            <w:r>
              <w:rPr>
                <w:rFonts w:hint="eastAsia"/>
                <w:color w:val="auto"/>
              </w:rPr>
              <w:t>西安市扬尘污染防治条例</w:t>
            </w:r>
            <w:r>
              <w:rPr>
                <w:rFonts w:hint="eastAsia"/>
                <w:color w:val="auto"/>
                <w:lang w:eastAsia="zh-CN"/>
              </w:rPr>
              <w:t>》《</w:t>
            </w:r>
            <w:r>
              <w:rPr>
                <w:rFonts w:hint="eastAsia"/>
                <w:color w:val="auto"/>
              </w:rPr>
              <w:t>西安市大气污染防治条例</w:t>
            </w:r>
            <w:r>
              <w:rPr>
                <w:rFonts w:hint="eastAsia"/>
                <w:color w:val="auto"/>
                <w:lang w:eastAsia="zh-CN"/>
              </w:rPr>
              <w:t>》《</w:t>
            </w:r>
            <w:r>
              <w:rPr>
                <w:rFonts w:hint="eastAsia"/>
                <w:color w:val="auto"/>
              </w:rPr>
              <w:t>西安市机动车和非道路移动机械排气污染防治条例》</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陕西省大气污染治理专项行动方案（2023</w:t>
            </w:r>
            <w:r>
              <w:rPr>
                <w:rFonts w:hint="eastAsia" w:cs="Times New Roman"/>
                <w:color w:val="auto"/>
                <w:lang w:val="en-US" w:eastAsia="zh-CN"/>
              </w:rPr>
              <w:t>—</w:t>
            </w:r>
            <w:r>
              <w:rPr>
                <w:rFonts w:hint="default" w:ascii="Times New Roman" w:hAnsi="Times New Roman" w:cs="Times New Roman"/>
                <w:color w:val="auto"/>
                <w:lang w:val="en-US" w:eastAsia="zh-CN"/>
              </w:rPr>
              <w:t>2027年）</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西安市大气污染治理专项行动方案（2023</w:t>
            </w:r>
            <w:r>
              <w:rPr>
                <w:rFonts w:hint="eastAsia" w:cs="Times New Roman"/>
                <w:color w:val="auto"/>
                <w:lang w:val="en-US" w:eastAsia="zh-CN"/>
              </w:rPr>
              <w:t>—</w:t>
            </w:r>
            <w:r>
              <w:rPr>
                <w:rFonts w:hint="default" w:ascii="Times New Roman" w:hAnsi="Times New Roman" w:cs="Times New Roman"/>
                <w:color w:val="auto"/>
                <w:lang w:val="en-US" w:eastAsia="zh-CN"/>
              </w:rPr>
              <w:t>2027年）</w:t>
            </w:r>
            <w:r>
              <w:rPr>
                <w:rFonts w:hint="default" w:ascii="Times New Roman" w:hAnsi="Times New Roman" w:cs="Times New Roman"/>
                <w:color w:val="auto"/>
                <w:lang w:eastAsia="zh-CN"/>
              </w:rPr>
              <w:t>》</w:t>
            </w:r>
            <w:r>
              <w:rPr>
                <w:rFonts w:hint="eastAsia"/>
                <w:color w:val="auto"/>
              </w:rPr>
              <w:t>等文件中的有关规定，建设单位应采取如下措施，减轻施工扬尘对周边环境的影响：</w:t>
            </w:r>
          </w:p>
          <w:p w14:paraId="04B5E092">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①</w:t>
            </w:r>
            <w:r>
              <w:rPr>
                <w:rFonts w:hint="default" w:ascii="Times New Roman" w:hAnsi="Times New Roman" w:eastAsia="宋体" w:cs="Times New Roman"/>
                <w:color w:val="auto"/>
                <w:kern w:val="2"/>
                <w:sz w:val="24"/>
                <w:szCs w:val="24"/>
                <w:lang w:val="en-US" w:eastAsia="zh-CN" w:bidi="ar-SA"/>
              </w:rPr>
              <w:t>建设单位施工过程中严格落实“洒水、覆盖、硬化、冲洗、绿化、围挡”六个100%措施。</w:t>
            </w:r>
          </w:p>
          <w:p w14:paraId="3C8E8410">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②严格建筑垃圾清运作业项目施工扬尘监管，建立动态管理清单，在工地公示具体防治措施及负责人信息，将防治扬尘污染费用纳入工程造价。全面落实“七个到位”要求。</w:t>
            </w:r>
          </w:p>
          <w:p w14:paraId="41931AD8">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③要注意堆料的保护，加盖篷布密封保存，且施工现场周边应设置符合要求的围挡，围挡高度最少不能低于2m。</w:t>
            </w:r>
          </w:p>
          <w:p w14:paraId="78555529">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④对于装运含尘物料的运输车辆必须进行密封运输，严格控制和规范车辆运输量和方式，容易产生粉尘的物料不能够装得高过车辆两边和尾部的挡板，严格控制物料</w:t>
            </w:r>
            <w:r>
              <w:rPr>
                <w:rFonts w:hint="eastAsia"/>
                <w:color w:val="auto"/>
                <w:lang w:eastAsia="zh-CN"/>
              </w:rPr>
              <w:t>的撒落</w:t>
            </w:r>
            <w:r>
              <w:rPr>
                <w:rFonts w:hint="eastAsia"/>
                <w:color w:val="auto"/>
              </w:rPr>
              <w:t>；严格限制施工场地内运输车辆行驶车速。</w:t>
            </w:r>
          </w:p>
          <w:p w14:paraId="6693EA9D">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⑤对离开工地的运输车，应该安装冲洗车轮的冲洗装置，不能将大量有土、泥、碎片等类似物体带到公共道路上。</w:t>
            </w:r>
          </w:p>
          <w:p w14:paraId="0F5068EA">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⑥加强对施工区周围的道路进行清扫，对于建设施工阶段的运输扬尘和机械扬尘，应采取洒水湿法抑尘。</w:t>
            </w:r>
          </w:p>
          <w:p w14:paraId="6A9443CD">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color w:val="auto"/>
              </w:rPr>
            </w:pPr>
            <w:r>
              <w:rPr>
                <w:rFonts w:hint="eastAsia"/>
                <w:color w:val="auto"/>
              </w:rPr>
              <w:t>⑦机动车所有人或者使用人应当及时对机动车进行维修保养，不得拆除、闲置排气污染控制装置和车载排放诊断系统，保持排气污染控制装置处于正常工作状态</w:t>
            </w:r>
          </w:p>
          <w:p w14:paraId="45DA6536">
            <w:pPr>
              <w:pStyle w:val="37"/>
              <w:ind w:firstLine="480"/>
              <w:jc w:val="left"/>
              <w:rPr>
                <w:rFonts w:hint="eastAsia"/>
                <w:color w:val="auto"/>
              </w:rPr>
            </w:pPr>
            <w:r>
              <w:rPr>
                <w:rFonts w:hint="eastAsia" w:ascii="宋体" w:hAnsi="宋体"/>
                <w:color w:val="auto"/>
              </w:rPr>
              <w:t>⑧</w:t>
            </w:r>
            <w:r>
              <w:rPr>
                <w:rFonts w:hint="eastAsia"/>
                <w:color w:val="auto"/>
              </w:rPr>
              <w:t>周至县启动重污染天气黄色（</w:t>
            </w:r>
            <w:r>
              <w:rPr>
                <w:color w:val="auto"/>
              </w:rPr>
              <w:t>Ⅲ级响应）及以上预警期间，要求建筑施工工地停止护坡喷浆、建筑拆除、切割、土石方等施工作业，并加大对施工工地、裸露地面、物料堆放等场所扬尘控制力度；启动橙色（Ⅱ级</w:t>
            </w:r>
            <w:r>
              <w:rPr>
                <w:rFonts w:hint="eastAsia"/>
                <w:color w:val="auto"/>
              </w:rPr>
              <w:t>响应）及以上预警期间，建筑施工工地停止室外作业，建筑垃圾、渣土、砂石运输车辆禁止上路行驶。</w:t>
            </w:r>
          </w:p>
          <w:p w14:paraId="19B80042">
            <w:pPr>
              <w:pStyle w:val="37"/>
              <w:ind w:firstLine="480"/>
              <w:jc w:val="left"/>
              <w:rPr>
                <w:rFonts w:hint="eastAsia" w:eastAsia="宋体"/>
                <w:color w:val="auto"/>
                <w:lang w:val="en-US" w:eastAsia="zh-CN"/>
              </w:rPr>
            </w:pPr>
            <w:r>
              <w:rPr>
                <w:rFonts w:hint="eastAsia"/>
                <w:color w:val="auto"/>
                <w:lang w:val="en-US" w:eastAsia="zh-CN"/>
              </w:rPr>
              <w:t>⑨</w:t>
            </w:r>
            <w:r>
              <w:rPr>
                <w:rFonts w:hint="default" w:ascii="Times New Roman" w:hAnsi="Times New Roman" w:cs="Times New Roman"/>
                <w:color w:val="auto"/>
              </w:rPr>
              <w:t>施工期间合理施工计划施工方案，在临居民侧加强洒水、覆盖等防尘措施，尽量使运输车辆远离居民区运输。</w:t>
            </w:r>
          </w:p>
          <w:p w14:paraId="6F6D53A5">
            <w:pPr>
              <w:pStyle w:val="37"/>
              <w:ind w:firstLine="480"/>
              <w:jc w:val="left"/>
              <w:rPr>
                <w:color w:val="auto"/>
              </w:rPr>
            </w:pPr>
            <w:r>
              <w:rPr>
                <w:rFonts w:hint="eastAsia"/>
                <w:color w:val="auto"/>
              </w:rPr>
              <w:t>采取如上措施后，施工期扬尘对周围环境影响不大，且施工期对大气环境的污染是短期的，施工完成后就会消失。</w:t>
            </w:r>
          </w:p>
          <w:p w14:paraId="36D90B20">
            <w:pPr>
              <w:pStyle w:val="37"/>
              <w:ind w:firstLine="480"/>
              <w:jc w:val="left"/>
              <w:rPr>
                <w:color w:val="auto"/>
              </w:rPr>
            </w:pPr>
            <w:r>
              <w:rPr>
                <w:rFonts w:hint="eastAsia"/>
                <w:color w:val="auto"/>
              </w:rPr>
              <w:t>（2）施工机械与车辆尾气</w:t>
            </w:r>
          </w:p>
          <w:p w14:paraId="3255D713">
            <w:pPr>
              <w:pStyle w:val="37"/>
              <w:ind w:firstLine="480"/>
              <w:jc w:val="left"/>
              <w:rPr>
                <w:color w:val="auto"/>
              </w:rPr>
            </w:pPr>
            <w:r>
              <w:rPr>
                <w:rFonts w:hint="eastAsia"/>
                <w:color w:val="auto"/>
              </w:rPr>
              <w:t>通过采取加强对施工机械和车辆的维护，使其运行状态稳定，尽量采用环保清洁燃料等措施减小施工机械和车辆对周围大气环境的影响，由于各施工机械和车辆作业范围相对较小，且各作业点较分散，扩散条件较好，加之施工期较短，因此，施工机械和车辆尾气对周围大气环境影响不大。</w:t>
            </w:r>
          </w:p>
          <w:p w14:paraId="50B30A7D">
            <w:pPr>
              <w:pStyle w:val="37"/>
              <w:ind w:firstLine="480"/>
              <w:jc w:val="left"/>
              <w:rPr>
                <w:color w:val="auto"/>
              </w:rPr>
            </w:pPr>
            <w:r>
              <w:rPr>
                <w:rFonts w:hint="eastAsia"/>
                <w:color w:val="auto"/>
              </w:rPr>
              <w:t>综上所述，项目施工期产生的废气在采取合理的防治措施后对周围大气环境影响较小。</w:t>
            </w:r>
          </w:p>
          <w:p w14:paraId="7A20AE7F">
            <w:pPr>
              <w:pStyle w:val="37"/>
              <w:ind w:firstLine="482"/>
              <w:jc w:val="left"/>
              <w:rPr>
                <w:b/>
                <w:bCs/>
                <w:color w:val="auto"/>
              </w:rPr>
            </w:pPr>
            <w:r>
              <w:rPr>
                <w:rFonts w:hint="eastAsia"/>
                <w:b/>
                <w:bCs/>
                <w:color w:val="auto"/>
              </w:rPr>
              <w:t>2、水污染防治措施</w:t>
            </w:r>
          </w:p>
          <w:p w14:paraId="1AD8B55B">
            <w:pPr>
              <w:pStyle w:val="37"/>
              <w:ind w:firstLine="480"/>
              <w:jc w:val="left"/>
              <w:rPr>
                <w:b/>
                <w:bCs/>
                <w:color w:val="auto"/>
              </w:rPr>
            </w:pPr>
            <w:r>
              <w:rPr>
                <w:rFonts w:hint="eastAsia"/>
                <w:b/>
                <w:bCs/>
                <w:color w:val="auto"/>
              </w:rPr>
              <w:t>（1）施工区生活污水污染防治措施</w:t>
            </w:r>
          </w:p>
          <w:p w14:paraId="4AB6C1EA">
            <w:pPr>
              <w:pStyle w:val="37"/>
              <w:ind w:firstLine="480"/>
              <w:jc w:val="left"/>
              <w:rPr>
                <w:color w:val="auto"/>
              </w:rPr>
            </w:pPr>
            <w:r>
              <w:rPr>
                <w:rFonts w:hint="eastAsia"/>
                <w:color w:val="auto"/>
              </w:rPr>
              <w:t>施工期生活污水包括如厕废水和盥洗废水，在施工生产办公区内设</w:t>
            </w:r>
            <w:r>
              <w:rPr>
                <w:rFonts w:hint="eastAsia"/>
                <w:color w:val="auto"/>
                <w:lang w:val="en-US" w:eastAsia="zh-CN"/>
              </w:rPr>
              <w:t>一</w:t>
            </w:r>
            <w:r>
              <w:rPr>
                <w:rFonts w:hint="eastAsia"/>
                <w:color w:val="auto"/>
              </w:rPr>
              <w:t>座临时</w:t>
            </w:r>
            <w:r>
              <w:rPr>
                <w:rFonts w:hint="eastAsia"/>
                <w:color w:val="auto"/>
                <w:lang w:eastAsia="zh-CN"/>
              </w:rPr>
              <w:t>化粪池</w:t>
            </w:r>
            <w:r>
              <w:rPr>
                <w:rFonts w:hint="eastAsia"/>
                <w:color w:val="auto"/>
              </w:rPr>
              <w:t>，如厕废水定期清掏后作农肥用；盥洗废水用于洒水抑尘，不外排。</w:t>
            </w:r>
          </w:p>
          <w:p w14:paraId="5A3518E5">
            <w:pPr>
              <w:pStyle w:val="37"/>
              <w:ind w:firstLine="480"/>
              <w:jc w:val="left"/>
              <w:rPr>
                <w:b/>
                <w:bCs/>
                <w:color w:val="auto"/>
              </w:rPr>
            </w:pPr>
            <w:r>
              <w:rPr>
                <w:rFonts w:hint="eastAsia"/>
                <w:b/>
                <w:bCs/>
                <w:color w:val="auto"/>
              </w:rPr>
              <w:t>（2）施工废水污染防治措施</w:t>
            </w:r>
          </w:p>
          <w:p w14:paraId="056B6A86">
            <w:pPr>
              <w:pStyle w:val="37"/>
              <w:ind w:firstLine="480"/>
              <w:jc w:val="left"/>
              <w:rPr>
                <w:color w:val="auto"/>
              </w:rPr>
            </w:pPr>
            <w:r>
              <w:rPr>
                <w:rFonts w:hint="eastAsia"/>
                <w:color w:val="auto"/>
              </w:rPr>
              <w:t>本项目施工废水路面养护废水、施工机械和车辆冲洗废水等，路面养护废水自然蒸发后，不外排；施工机械和车辆冲洗废水中</w:t>
            </w:r>
            <w:r>
              <w:rPr>
                <w:rFonts w:hint="eastAsia"/>
                <w:color w:val="auto"/>
                <w:kern w:val="0"/>
                <w:lang w:bidi="ar"/>
              </w:rPr>
              <w:t>主要污染物为SS，场地内不进行机械维修等活动，不会产生含油废水等其他污染物。</w:t>
            </w:r>
            <w:r>
              <w:rPr>
                <w:rFonts w:hint="eastAsia"/>
                <w:color w:val="auto"/>
              </w:rPr>
              <w:t>施工期废水如果直接排入工程区段的河道或者随地表径流排放，将使地表水体中悬浮物浓度大大增加，亦可能污染周边土壤，使水体感官、土壤环境质量变差，对河道水生生物、周边植被产生不利影响。因此，应采取必要的废水处理措施。</w:t>
            </w:r>
          </w:p>
          <w:p w14:paraId="4C83DC9F">
            <w:pPr>
              <w:pStyle w:val="37"/>
              <w:ind w:firstLine="480"/>
              <w:jc w:val="left"/>
              <w:rPr>
                <w:color w:val="auto"/>
              </w:rPr>
            </w:pPr>
            <w:r>
              <w:rPr>
                <w:rFonts w:hint="eastAsia"/>
                <w:color w:val="auto"/>
              </w:rPr>
              <w:t>主要采取以下措施：</w:t>
            </w:r>
          </w:p>
          <w:p w14:paraId="089BFAD5">
            <w:pPr>
              <w:pStyle w:val="37"/>
              <w:ind w:firstLine="480"/>
              <w:jc w:val="left"/>
              <w:rPr>
                <w:color w:val="auto"/>
              </w:rPr>
            </w:pPr>
            <w:r>
              <w:rPr>
                <w:rFonts w:hint="eastAsia" w:ascii="宋体" w:hAnsi="宋体"/>
                <w:color w:val="auto"/>
              </w:rPr>
              <w:t>①</w:t>
            </w:r>
            <w:r>
              <w:rPr>
                <w:rFonts w:hint="eastAsia"/>
                <w:color w:val="auto"/>
              </w:rPr>
              <w:t>优化施工工艺，尽可能选择围堰施工方案，减少施工活动对河道生态环境的影响。</w:t>
            </w:r>
          </w:p>
          <w:p w14:paraId="601C453D">
            <w:pPr>
              <w:pStyle w:val="37"/>
              <w:ind w:firstLine="480"/>
              <w:jc w:val="left"/>
              <w:rPr>
                <w:color w:val="auto"/>
              </w:rPr>
            </w:pPr>
            <w:r>
              <w:rPr>
                <w:rFonts w:hint="eastAsia" w:ascii="宋体" w:hAnsi="宋体"/>
                <w:color w:val="auto"/>
              </w:rPr>
              <w:t>②</w:t>
            </w:r>
            <w:r>
              <w:rPr>
                <w:rFonts w:hint="eastAsia"/>
                <w:color w:val="auto"/>
              </w:rPr>
              <w:t>优化运输线路，充分利用河道两侧现有的运输线路，以减少植被的砍伐与生物量的损失。</w:t>
            </w:r>
          </w:p>
          <w:p w14:paraId="1D000E6D">
            <w:pPr>
              <w:pStyle w:val="37"/>
              <w:ind w:firstLine="480"/>
              <w:jc w:val="left"/>
              <w:rPr>
                <w:color w:val="auto"/>
              </w:rPr>
            </w:pPr>
            <w:r>
              <w:rPr>
                <w:rFonts w:hint="eastAsia" w:ascii="宋体" w:hAnsi="宋体"/>
                <w:color w:val="auto"/>
              </w:rPr>
              <w:t>③</w:t>
            </w:r>
            <w:r>
              <w:rPr>
                <w:rFonts w:hint="eastAsia"/>
                <w:color w:val="auto"/>
              </w:rPr>
              <w:t>施工期间，在施工场地修建1座5</w:t>
            </w:r>
            <w:r>
              <w:rPr>
                <w:color w:val="auto"/>
              </w:rPr>
              <w:t>m</w:t>
            </w:r>
            <w:r>
              <w:rPr>
                <w:color w:val="auto"/>
                <w:vertAlign w:val="superscript"/>
              </w:rPr>
              <w:t>3</w:t>
            </w:r>
            <w:r>
              <w:rPr>
                <w:rFonts w:hint="eastAsia"/>
                <w:color w:val="auto"/>
              </w:rPr>
              <w:t>的临时沉淀池，施工废水收集至沉淀池处理后回用，禁止直接排入水体，以免造成局部污染，增加水域的污染负荷。</w:t>
            </w:r>
          </w:p>
          <w:p w14:paraId="7D9A54FB">
            <w:pPr>
              <w:pStyle w:val="37"/>
              <w:ind w:firstLine="480"/>
              <w:jc w:val="left"/>
              <w:rPr>
                <w:color w:val="auto"/>
              </w:rPr>
            </w:pPr>
            <w:r>
              <w:rPr>
                <w:rFonts w:hint="eastAsia" w:ascii="宋体" w:hAnsi="宋体"/>
                <w:color w:val="auto"/>
              </w:rPr>
              <w:t>④</w:t>
            </w:r>
            <w:r>
              <w:rPr>
                <w:rFonts w:hint="eastAsia"/>
                <w:color w:val="auto"/>
              </w:rPr>
              <w:t>禁止向河道内排污与倾倒废物。</w:t>
            </w:r>
          </w:p>
          <w:p w14:paraId="136B998F">
            <w:pPr>
              <w:pStyle w:val="37"/>
              <w:ind w:firstLine="480"/>
              <w:jc w:val="left"/>
              <w:rPr>
                <w:color w:val="auto"/>
              </w:rPr>
            </w:pPr>
            <w:r>
              <w:rPr>
                <w:rFonts w:hint="eastAsia" w:ascii="宋体" w:hAnsi="宋体"/>
                <w:color w:val="auto"/>
              </w:rPr>
              <w:t>⑤</w:t>
            </w:r>
            <w:r>
              <w:rPr>
                <w:rFonts w:hint="eastAsia"/>
                <w:color w:val="auto"/>
              </w:rPr>
              <w:t>禁止开展可能对</w:t>
            </w:r>
            <w:r>
              <w:rPr>
                <w:rFonts w:hint="eastAsia"/>
                <w:color w:val="auto"/>
                <w:lang w:val="en-US" w:eastAsia="zh-CN"/>
              </w:rPr>
              <w:t>陕西省周至县老县城自然保护区</w:t>
            </w:r>
            <w:r>
              <w:rPr>
                <w:rFonts w:hint="eastAsia"/>
                <w:color w:val="auto"/>
              </w:rPr>
              <w:t>内生物资源和生态环境造成损害的活动。</w:t>
            </w:r>
          </w:p>
          <w:p w14:paraId="334DB79C">
            <w:pPr>
              <w:pStyle w:val="37"/>
              <w:ind w:firstLine="480"/>
              <w:jc w:val="left"/>
              <w:rPr>
                <w:color w:val="auto"/>
              </w:rPr>
            </w:pPr>
            <w:r>
              <w:rPr>
                <w:rFonts w:hint="eastAsia"/>
                <w:color w:val="auto"/>
              </w:rPr>
              <w:t>综上所述，由于项目施工期较短、工程量小，施工废水均得到合理处理后回用，项目实施后</w:t>
            </w:r>
            <w:r>
              <w:rPr>
                <w:rFonts w:hint="eastAsia"/>
                <w:color w:val="auto"/>
                <w:lang w:val="en-US" w:eastAsia="zh-CN"/>
              </w:rPr>
              <w:t>湑水河</w:t>
            </w:r>
            <w:r>
              <w:rPr>
                <w:rFonts w:hint="eastAsia"/>
                <w:color w:val="auto"/>
              </w:rPr>
              <w:t>生态环境将得到改善，工程建设期对水生生物的影响将随着施工结束消失并得到逐步恢复。</w:t>
            </w:r>
          </w:p>
          <w:p w14:paraId="7E01FC5A">
            <w:pPr>
              <w:pStyle w:val="37"/>
              <w:ind w:firstLine="480"/>
              <w:jc w:val="left"/>
              <w:rPr>
                <w:b/>
                <w:bCs/>
                <w:color w:val="auto"/>
              </w:rPr>
            </w:pPr>
            <w:r>
              <w:rPr>
                <w:rFonts w:hint="eastAsia"/>
                <w:b/>
                <w:bCs/>
                <w:color w:val="auto"/>
              </w:rPr>
              <w:t>3、噪声污染防治措施</w:t>
            </w:r>
          </w:p>
          <w:p w14:paraId="3E5A1EAB">
            <w:pPr>
              <w:pStyle w:val="37"/>
              <w:ind w:firstLine="480"/>
              <w:jc w:val="left"/>
              <w:rPr>
                <w:color w:val="auto"/>
              </w:rPr>
            </w:pPr>
            <w:r>
              <w:rPr>
                <w:rFonts w:hint="eastAsia"/>
                <w:color w:val="auto"/>
              </w:rPr>
              <w:t>为最大限度地减少施工期噪声对环境和敏感点的影响，要求建设单位在工程施工期采取以下噪声控制措施：</w:t>
            </w:r>
          </w:p>
          <w:p w14:paraId="0CB1F633">
            <w:pPr>
              <w:pStyle w:val="37"/>
              <w:ind w:firstLine="480"/>
              <w:jc w:val="left"/>
              <w:rPr>
                <w:color w:val="auto"/>
              </w:rPr>
            </w:pPr>
            <w:r>
              <w:rPr>
                <w:rFonts w:hint="eastAsia"/>
                <w:color w:val="auto"/>
              </w:rPr>
              <w:t>（1）从源头上降低噪声源强。选用低噪声施工机械和工艺，加强施工机械修理和维护，保持设备良好运转状态，降低设备运行噪声，杜绝施工机械因故障产生较大噪声。</w:t>
            </w:r>
          </w:p>
          <w:p w14:paraId="22F2FFAC">
            <w:pPr>
              <w:pStyle w:val="37"/>
              <w:ind w:firstLine="480"/>
              <w:jc w:val="left"/>
              <w:rPr>
                <w:color w:val="auto"/>
              </w:rPr>
            </w:pPr>
            <w:r>
              <w:rPr>
                <w:rFonts w:hint="eastAsia"/>
                <w:color w:val="auto"/>
              </w:rPr>
              <w:t>（2）合理安排施工时间，在夜间（22:00</w:t>
            </w:r>
            <w:r>
              <w:rPr>
                <w:rFonts w:hint="eastAsia"/>
                <w:color w:val="auto"/>
                <w:lang w:eastAsia="zh-CN"/>
              </w:rPr>
              <w:t>～</w:t>
            </w:r>
            <w:r>
              <w:rPr>
                <w:rFonts w:hint="eastAsia"/>
                <w:color w:val="auto"/>
              </w:rPr>
              <w:t>次日6:00）不得施工。</w:t>
            </w:r>
          </w:p>
          <w:p w14:paraId="33DDEFDD">
            <w:pPr>
              <w:pStyle w:val="37"/>
              <w:ind w:firstLine="480"/>
              <w:jc w:val="left"/>
              <w:rPr>
                <w:color w:val="auto"/>
              </w:rPr>
            </w:pPr>
            <w:r>
              <w:rPr>
                <w:rFonts w:hint="eastAsia"/>
                <w:color w:val="auto"/>
              </w:rPr>
              <w:t>（3）倡导文明施工，建立控制人为噪声的管理制度，杜绝人为敲打、野蛮装卸等现象，最大限度减少噪声扰民。</w:t>
            </w:r>
          </w:p>
          <w:p w14:paraId="15B7EE90">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4）选用符合国家相关标准的施工车辆，禁止不符合国家噪声排放标准的运输车辆进入施工区，减少夜间运输量，靠近居民区时限速并禁止鸣笛，对施工和运输车辆定期进行维护和养护，加强施工期交通管理，保持道路畅通。</w:t>
            </w:r>
          </w:p>
          <w:p w14:paraId="62316FDB">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本工程施工期较短，施工噪声随着施工的结束而消失，建设单位在严格落实评价提出的噪声防治措施要求的前提下，对周围声环境及居民生活环境产生的影响较小。</w:t>
            </w:r>
          </w:p>
          <w:p w14:paraId="650600F2">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b/>
                <w:bCs/>
                <w:color w:val="auto"/>
              </w:rPr>
            </w:pPr>
            <w:r>
              <w:rPr>
                <w:rFonts w:hint="eastAsia"/>
                <w:b/>
                <w:bCs/>
                <w:color w:val="auto"/>
              </w:rPr>
              <w:t>4、固体废物污染防治措施</w:t>
            </w:r>
          </w:p>
          <w:p w14:paraId="10AC7475">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施工期固体废物包括建筑垃圾及施工人员生活垃圾。</w:t>
            </w:r>
          </w:p>
          <w:p w14:paraId="5A26F11E">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（1）建筑垃圾</w:t>
            </w:r>
          </w:p>
          <w:p w14:paraId="23628B5F">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default" w:ascii="Times New Roman" w:hAnsi="Times New Roman" w:cs="Times New Roman"/>
                <w:color w:val="auto"/>
              </w:rPr>
              <w:t>项目施工过程中产生建筑垃圾能回用的综合利用，不能回用的交由指定的建筑垃圾堆放场。</w:t>
            </w:r>
          </w:p>
          <w:p w14:paraId="406FE475">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w:t>
            </w:r>
            <w:r>
              <w:rPr>
                <w:color w:val="auto"/>
              </w:rPr>
              <w:t>2</w:t>
            </w:r>
            <w:r>
              <w:rPr>
                <w:rFonts w:hint="eastAsia"/>
                <w:color w:val="auto"/>
              </w:rPr>
              <w:t>）生活垃圾</w:t>
            </w:r>
          </w:p>
          <w:p w14:paraId="008524E9">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eastAsia"/>
                <w:color w:val="auto"/>
              </w:rPr>
              <w:t>施工期生活垃圾经垃圾桶收后，交由当地环卫部门负责定期清运处置。</w:t>
            </w:r>
          </w:p>
          <w:p w14:paraId="0F8052BD">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b/>
                <w:bCs/>
                <w:color w:val="auto"/>
              </w:rPr>
            </w:pPr>
            <w:r>
              <w:rPr>
                <w:rFonts w:hint="eastAsia"/>
                <w:b/>
                <w:bCs/>
                <w:color w:val="auto"/>
              </w:rPr>
              <w:t>5、生态环境保护措施</w:t>
            </w:r>
          </w:p>
          <w:p w14:paraId="080562AE">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eastAsia="zh-CN"/>
              </w:rPr>
              <w:t>（1）</w:t>
            </w:r>
            <w:r>
              <w:rPr>
                <w:rFonts w:hint="default" w:ascii="Times New Roman" w:hAnsi="Times New Roman" w:cs="Times New Roman"/>
                <w:color w:val="auto"/>
              </w:rPr>
              <w:t>工程措施</w:t>
            </w:r>
          </w:p>
          <w:p w14:paraId="3FA16C3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由于本次工程治理范围内无滑坡体等易导致水土流失的地质段落，因此本方案所指的工程措施主要是指工程施工期的工程措施，不含永久性工程措施。工程措施的主要内容包括：</w:t>
            </w:r>
          </w:p>
          <w:p w14:paraId="22E066E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eastAsia" w:cs="Times New Roman"/>
                <w:color w:val="auto"/>
                <w:lang w:val="en-US" w:eastAsia="zh-CN"/>
              </w:rPr>
              <w:t>（1）</w:t>
            </w:r>
            <w:r>
              <w:rPr>
                <w:rFonts w:hint="default" w:ascii="Times New Roman" w:hAnsi="Times New Roman" w:cs="Times New Roman"/>
                <w:color w:val="auto"/>
              </w:rPr>
              <w:t>护岸顶整平</w:t>
            </w:r>
          </w:p>
          <w:p w14:paraId="694B669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护岸顶平整应确定合理的开挖坡比，对形成挖填边坡应采取必要的防治措施，合理设置弃渣场，做好覆土、压实、平整等工作。</w:t>
            </w:r>
          </w:p>
          <w:p w14:paraId="6C904E1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eastAsia="zh-CN"/>
              </w:rPr>
              <w:t>（2）</w:t>
            </w:r>
            <w:r>
              <w:rPr>
                <w:rFonts w:hint="default" w:ascii="Times New Roman" w:hAnsi="Times New Roman" w:cs="Times New Roman"/>
                <w:color w:val="auto"/>
              </w:rPr>
              <w:t>临时工程防护措施</w:t>
            </w:r>
          </w:p>
          <w:p w14:paraId="1FA96E5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根据本工程的性质，施工</w:t>
            </w:r>
            <w:r>
              <w:rPr>
                <w:rFonts w:hint="default" w:ascii="Times New Roman" w:hAnsi="Times New Roman" w:cs="Times New Roman"/>
                <w:color w:val="auto"/>
                <w:lang w:val="en-US" w:eastAsia="zh-CN"/>
              </w:rPr>
              <w:t>时</w:t>
            </w:r>
            <w:r>
              <w:rPr>
                <w:rFonts w:hint="default" w:ascii="Times New Roman" w:hAnsi="Times New Roman" w:cs="Times New Roman"/>
                <w:color w:val="auto"/>
              </w:rPr>
              <w:t>避开雨季非汛期集中进行，既可以减少水土流失又可满足防洪保安的要求。</w:t>
            </w:r>
          </w:p>
          <w:p w14:paraId="0075BE6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1）</w:t>
            </w:r>
            <w:r>
              <w:rPr>
                <w:rFonts w:hint="default" w:ascii="Times New Roman" w:hAnsi="Times New Roman" w:cs="Times New Roman"/>
                <w:color w:val="auto"/>
              </w:rPr>
              <w:t>表土剥离堆置</w:t>
            </w:r>
          </w:p>
          <w:p w14:paraId="5423483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项目工程开工前，先将临时用地范围内表土先行剥离，表土剥离要分段集中堆置，以备将来利用。为防止土体滑塌、雨季造成流失，在土料堆放过程中用土袋堆砌在土体外侧坡脚，并利用彩条塑料布防雨遮盖。施工结束后</w:t>
            </w:r>
            <w:r>
              <w:rPr>
                <w:rFonts w:hint="default" w:ascii="Times New Roman" w:hAnsi="Times New Roman" w:cs="Times New Roman"/>
                <w:color w:val="auto"/>
                <w:lang w:val="en-US" w:eastAsia="zh-CN"/>
              </w:rPr>
              <w:t>已</w:t>
            </w:r>
            <w:r>
              <w:rPr>
                <w:rFonts w:hint="default" w:ascii="Times New Roman" w:hAnsi="Times New Roman" w:cs="Times New Roman"/>
                <w:color w:val="auto"/>
              </w:rPr>
              <w:t>将原地表熟土回填。</w:t>
            </w:r>
          </w:p>
          <w:p w14:paraId="6C38397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临时挡土埂</w:t>
            </w:r>
          </w:p>
          <w:p w14:paraId="4F66E6F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对临时堆土堆料采取临时拦挡措施。在堆土料场周边采用临时</w:t>
            </w:r>
            <w:r>
              <w:rPr>
                <w:rFonts w:hint="eastAsia" w:cs="Times New Roman"/>
                <w:color w:val="auto"/>
                <w:lang w:eastAsia="zh-CN"/>
              </w:rPr>
              <w:t>粘土</w:t>
            </w:r>
            <w:r>
              <w:rPr>
                <w:rFonts w:hint="default" w:ascii="Times New Roman" w:hAnsi="Times New Roman" w:cs="Times New Roman"/>
                <w:color w:val="auto"/>
              </w:rPr>
              <w:t>埂的方式进行拦挡。</w:t>
            </w:r>
          </w:p>
          <w:p w14:paraId="5FC774F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3）</w:t>
            </w:r>
            <w:r>
              <w:rPr>
                <w:rFonts w:hint="default" w:ascii="Times New Roman" w:hAnsi="Times New Roman" w:cs="Times New Roman"/>
                <w:color w:val="auto"/>
              </w:rPr>
              <w:t>临时排水沟</w:t>
            </w:r>
          </w:p>
          <w:p w14:paraId="00620B5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为防止作业带地表冲刷，在堆土料场周边、开挖面上游及两侧和临时施工道路内侧采取临时排水措施。考虑其排水的临时性与过渡性，排水沟采用断面为梯形土沟形式，断面尺寸为底宽0.3m，高0.4m，边坡比为1：0.5，且内壁夯实。施工结束后进行平整。临时排水沟开挖土料用于临时土埂的填筑。</w:t>
            </w:r>
          </w:p>
          <w:p w14:paraId="350E6FD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4）</w:t>
            </w:r>
            <w:r>
              <w:rPr>
                <w:rFonts w:hint="default" w:ascii="Times New Roman" w:hAnsi="Times New Roman" w:cs="Times New Roman"/>
                <w:color w:val="auto"/>
              </w:rPr>
              <w:t>场地硬化</w:t>
            </w:r>
          </w:p>
          <w:p w14:paraId="1B6DFC5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对施工场地用机械进行压实，这样可以减少降雨对地表物质的冲刷。</w:t>
            </w:r>
          </w:p>
          <w:p w14:paraId="7C7FAAB4">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场地修整、恢复</w:t>
            </w:r>
          </w:p>
          <w:p w14:paraId="23CA485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施工结束后，首先应对场地实施清理，拆除所有临时建筑物，废渣就近回填低洼处，并进行压实处理，对临时占地应根据其性质进</w:t>
            </w:r>
            <w:r>
              <w:rPr>
                <w:rFonts w:hint="default" w:ascii="Times New Roman" w:hAnsi="Times New Roman" w:eastAsia="宋体" w:cs="Times New Roman"/>
                <w:color w:val="auto"/>
              </w:rPr>
              <w:t>行生态恢复</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种植绿化</w:t>
            </w:r>
            <w:r>
              <w:rPr>
                <w:rFonts w:hint="default" w:ascii="Times New Roman" w:hAnsi="Times New Roman" w:eastAsia="宋体" w:cs="Times New Roman"/>
                <w:color w:val="auto"/>
              </w:rPr>
              <w:t>。</w:t>
            </w:r>
          </w:p>
          <w:p w14:paraId="053B7D38">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eastAsia="zh-CN"/>
              </w:rPr>
              <w:t>（3）</w:t>
            </w:r>
            <w:r>
              <w:rPr>
                <w:rFonts w:hint="default" w:ascii="Times New Roman" w:hAnsi="Times New Roman" w:cs="Times New Roman"/>
                <w:color w:val="auto"/>
              </w:rPr>
              <w:t>绿化措施</w:t>
            </w:r>
          </w:p>
          <w:p w14:paraId="4291B9B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为防止风蚀沙化和水土流失，根据项目区的自然环境，结合实际要求，对护岸内外进行绿化。</w:t>
            </w:r>
          </w:p>
          <w:p w14:paraId="709D9C46">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迎水坡植物护岸</w:t>
            </w:r>
          </w:p>
          <w:p w14:paraId="068C6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rPr>
            </w:pPr>
            <w:r>
              <w:rPr>
                <w:rFonts w:hint="default" w:ascii="Times New Roman" w:hAnsi="Times New Roman" w:cs="Times New Roman"/>
                <w:color w:val="auto"/>
              </w:rPr>
              <w:t>从边坡的防护功能、美化效果和绿化管护难易程度考虑，种植固土能力强的深根性、耐贫瘠，生命力旺盛的植物，如：苜蓿等，防止雨水径流侵蚀，达到绿化和美化效果。</w:t>
            </w:r>
          </w:p>
          <w:p w14:paraId="2132689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2）</w:t>
            </w:r>
            <w:r>
              <w:rPr>
                <w:rFonts w:hint="default" w:ascii="Times New Roman" w:hAnsi="Times New Roman" w:cs="Times New Roman"/>
                <w:color w:val="auto"/>
              </w:rPr>
              <w:t>场地恢复</w:t>
            </w:r>
          </w:p>
          <w:p w14:paraId="623C3CC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cs="Times New Roman"/>
                <w:color w:val="auto"/>
              </w:rPr>
            </w:pPr>
            <w:r>
              <w:rPr>
                <w:rFonts w:hint="default" w:ascii="Times New Roman" w:hAnsi="Times New Roman" w:cs="Times New Roman"/>
                <w:color w:val="auto"/>
              </w:rPr>
              <w:t>施工结束后，应对临时施工道路、生活场地防治区、料场及弃渣场进行整平并复耕或复植绿化，绿化撒播沙蒿</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草籽等</w:t>
            </w:r>
            <w:r>
              <w:rPr>
                <w:rFonts w:hint="default" w:ascii="Times New Roman" w:hAnsi="Times New Roman" w:cs="Times New Roman"/>
                <w:color w:val="auto"/>
              </w:rPr>
              <w:t>。</w:t>
            </w:r>
          </w:p>
          <w:p w14:paraId="119B888C">
            <w:pPr>
              <w:pStyle w:val="37"/>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color w:val="auto"/>
              </w:rPr>
            </w:pPr>
            <w:r>
              <w:rPr>
                <w:rFonts w:hint="default" w:ascii="Times New Roman" w:hAnsi="Times New Roman" w:cs="Times New Roman"/>
                <w:color w:val="auto"/>
              </w:rPr>
              <w:t>采取工程设计的水土流失防治措施，可有效防治本工程施工期产生的水土流失，工程治理完成后</w:t>
            </w:r>
            <w:r>
              <w:rPr>
                <w:rFonts w:hint="eastAsia" w:cs="Times New Roman"/>
                <w:color w:val="auto"/>
                <w:lang w:eastAsia="zh-CN"/>
              </w:rPr>
              <w:t>将极大地改善</w:t>
            </w:r>
            <w:r>
              <w:rPr>
                <w:rFonts w:hint="default" w:ascii="Times New Roman" w:hAnsi="Times New Roman" w:cs="Times New Roman"/>
                <w:color w:val="auto"/>
              </w:rPr>
              <w:t>周边环境，减少水土流失量。</w:t>
            </w:r>
          </w:p>
        </w:tc>
      </w:tr>
      <w:tr w14:paraId="19352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18" w:type="dxa"/>
            <w:vAlign w:val="center"/>
          </w:tcPr>
          <w:p w14:paraId="3000442F">
            <w:pPr>
              <w:pStyle w:val="37"/>
              <w:ind w:firstLine="0" w:firstLineChars="0"/>
              <w:jc w:val="center"/>
              <w:rPr>
                <w:color w:val="auto"/>
              </w:rPr>
            </w:pPr>
            <w:r>
              <w:rPr>
                <w:rFonts w:hint="eastAsia"/>
                <w:color w:val="auto"/>
              </w:rPr>
              <w:t>运营期生态环境保护措施</w:t>
            </w:r>
          </w:p>
        </w:tc>
        <w:tc>
          <w:tcPr>
            <w:tcW w:w="8216" w:type="dxa"/>
            <w:vAlign w:val="center"/>
          </w:tcPr>
          <w:p w14:paraId="37E93EA8">
            <w:pPr>
              <w:pStyle w:val="37"/>
              <w:ind w:firstLine="480"/>
              <w:jc w:val="left"/>
              <w:rPr>
                <w:color w:val="auto"/>
              </w:rPr>
            </w:pPr>
            <w:r>
              <w:rPr>
                <w:rFonts w:hint="eastAsia"/>
                <w:color w:val="auto"/>
              </w:rPr>
              <w:t>项目运营期无固定废气、废水及噪声源，在养护管理过程会对项目区路面遗落的垃圾、杂物等固体废物进行清理，收集后交环卫部门清运，避免对环境产生影响。</w:t>
            </w:r>
          </w:p>
          <w:p w14:paraId="100B8B53">
            <w:pPr>
              <w:pStyle w:val="37"/>
              <w:ind w:firstLine="480"/>
              <w:jc w:val="left"/>
              <w:rPr>
                <w:color w:val="auto"/>
              </w:rPr>
            </w:pPr>
            <w:r>
              <w:rPr>
                <w:rFonts w:hint="eastAsia"/>
                <w:color w:val="auto"/>
              </w:rPr>
              <w:t>运营期应制定河道</w:t>
            </w:r>
            <w:r>
              <w:rPr>
                <w:rFonts w:hint="eastAsia"/>
                <w:color w:val="auto"/>
                <w:lang w:val="en-US" w:eastAsia="zh-CN"/>
              </w:rPr>
              <w:t>护岸</w:t>
            </w:r>
            <w:r>
              <w:rPr>
                <w:rFonts w:hint="eastAsia"/>
                <w:color w:val="auto"/>
              </w:rPr>
              <w:t>工程管理的有关规章制度；加强河道巡视；组织护岸工程维护岁修，消除隐患，维护工程完好，确保工程安全；汛期应严格按防汛要求进行河堤安全监管；当堤防工程发生重大险情和重大事故时，及时向上级主管部门请示报告和抢险。</w:t>
            </w:r>
          </w:p>
        </w:tc>
      </w:tr>
      <w:tr w14:paraId="5DD34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818" w:type="dxa"/>
            <w:vAlign w:val="center"/>
          </w:tcPr>
          <w:p w14:paraId="4BD74E5C">
            <w:pPr>
              <w:pStyle w:val="37"/>
              <w:ind w:firstLine="0" w:firstLineChars="0"/>
              <w:jc w:val="center"/>
              <w:rPr>
                <w:color w:val="auto"/>
              </w:rPr>
            </w:pPr>
            <w:r>
              <w:rPr>
                <w:rFonts w:hint="eastAsia"/>
                <w:color w:val="auto"/>
              </w:rPr>
              <w:t>其他</w:t>
            </w:r>
          </w:p>
        </w:tc>
        <w:tc>
          <w:tcPr>
            <w:tcW w:w="8216" w:type="dxa"/>
            <w:vAlign w:val="center"/>
          </w:tcPr>
          <w:p w14:paraId="75FE536E">
            <w:pPr>
              <w:pStyle w:val="37"/>
              <w:ind w:firstLine="480"/>
              <w:rPr>
                <w:color w:val="auto"/>
              </w:rPr>
            </w:pPr>
            <w:r>
              <w:rPr>
                <w:rFonts w:hint="eastAsia"/>
                <w:color w:val="auto"/>
                <w:lang w:val="en-US" w:eastAsia="zh-CN"/>
              </w:rPr>
              <w:t>1</w:t>
            </w:r>
            <w:r>
              <w:rPr>
                <w:rFonts w:hint="eastAsia"/>
                <w:color w:val="auto"/>
              </w:rPr>
              <w:t>、环境保护竣工验收</w:t>
            </w:r>
          </w:p>
          <w:p w14:paraId="5CBB97B7">
            <w:pPr>
              <w:pStyle w:val="37"/>
              <w:ind w:firstLine="480"/>
              <w:rPr>
                <w:color w:val="auto"/>
              </w:rPr>
            </w:pPr>
            <w:r>
              <w:rPr>
                <w:rFonts w:hint="eastAsia"/>
                <w:color w:val="auto"/>
              </w:rPr>
              <w:t>工程施工应严格落实“三同时”制度，本项目环保设施验收清单表</w:t>
            </w:r>
            <w:r>
              <w:rPr>
                <w:rFonts w:hint="eastAsia"/>
                <w:color w:val="auto"/>
                <w:lang w:val="en-US" w:eastAsia="zh-CN"/>
              </w:rPr>
              <w:t>14</w:t>
            </w:r>
            <w:r>
              <w:rPr>
                <w:rFonts w:hint="eastAsia"/>
                <w:color w:val="auto"/>
              </w:rPr>
              <w:t>。</w:t>
            </w:r>
          </w:p>
          <w:p w14:paraId="5C3AFCE1">
            <w:pPr>
              <w:pStyle w:val="35"/>
              <w:rPr>
                <w:color w:val="auto"/>
                <w:lang w:bidi="ar"/>
              </w:rPr>
            </w:pPr>
            <w:r>
              <w:rPr>
                <w:color w:val="auto"/>
              </w:rPr>
              <w:t>表</w:t>
            </w:r>
            <w:r>
              <w:rPr>
                <w:rFonts w:hint="eastAsia"/>
                <w:color w:val="auto"/>
                <w:lang w:val="en-US" w:eastAsia="zh-CN"/>
              </w:rPr>
              <w:t xml:space="preserve">14   </w:t>
            </w:r>
            <w:r>
              <w:rPr>
                <w:color w:val="auto"/>
                <w:lang w:bidi="ar"/>
              </w:rPr>
              <w:t>环保设施验收清单表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236"/>
              <w:gridCol w:w="1896"/>
              <w:gridCol w:w="1898"/>
              <w:gridCol w:w="2970"/>
            </w:tblGrid>
            <w:tr w14:paraId="034A8E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 w:hRule="atLeast"/>
                <w:jc w:val="center"/>
              </w:trPr>
              <w:tc>
                <w:tcPr>
                  <w:tcW w:w="773" w:type="pct"/>
                  <w:vAlign w:val="center"/>
                </w:tcPr>
                <w:p w14:paraId="5E793382">
                  <w:pPr>
                    <w:pStyle w:val="28"/>
                    <w:rPr>
                      <w:b/>
                      <w:bCs/>
                      <w:color w:val="auto"/>
                    </w:rPr>
                  </w:pPr>
                  <w:r>
                    <w:rPr>
                      <w:b/>
                      <w:bCs/>
                      <w:color w:val="auto"/>
                    </w:rPr>
                    <w:t>类别</w:t>
                  </w:r>
                </w:p>
              </w:tc>
              <w:tc>
                <w:tcPr>
                  <w:tcW w:w="2371" w:type="pct"/>
                  <w:gridSpan w:val="2"/>
                  <w:vAlign w:val="center"/>
                </w:tcPr>
                <w:p w14:paraId="186073E7">
                  <w:pPr>
                    <w:pStyle w:val="28"/>
                    <w:rPr>
                      <w:b/>
                      <w:bCs/>
                      <w:color w:val="auto"/>
                    </w:rPr>
                  </w:pPr>
                  <w:r>
                    <w:rPr>
                      <w:b/>
                      <w:bCs/>
                      <w:color w:val="auto"/>
                    </w:rPr>
                    <w:t>环保设施或措施</w:t>
                  </w:r>
                </w:p>
              </w:tc>
              <w:tc>
                <w:tcPr>
                  <w:tcW w:w="1856" w:type="pct"/>
                  <w:vAlign w:val="center"/>
                </w:tcPr>
                <w:p w14:paraId="683ED804">
                  <w:pPr>
                    <w:pStyle w:val="28"/>
                    <w:rPr>
                      <w:b/>
                      <w:bCs/>
                      <w:color w:val="auto"/>
                    </w:rPr>
                  </w:pPr>
                  <w:r>
                    <w:rPr>
                      <w:b/>
                      <w:bCs/>
                      <w:color w:val="auto"/>
                    </w:rPr>
                    <w:t>验收标准</w:t>
                  </w:r>
                </w:p>
              </w:tc>
            </w:tr>
            <w:tr w14:paraId="12994B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Align w:val="center"/>
                </w:tcPr>
                <w:p w14:paraId="5B27F0AA">
                  <w:pPr>
                    <w:pStyle w:val="28"/>
                    <w:rPr>
                      <w:color w:val="auto"/>
                    </w:rPr>
                  </w:pPr>
                  <w:r>
                    <w:rPr>
                      <w:rFonts w:hint="eastAsia"/>
                      <w:color w:val="auto"/>
                    </w:rPr>
                    <w:t>废气</w:t>
                  </w:r>
                </w:p>
              </w:tc>
              <w:tc>
                <w:tcPr>
                  <w:tcW w:w="2371" w:type="pct"/>
                  <w:gridSpan w:val="2"/>
                  <w:vAlign w:val="center"/>
                </w:tcPr>
                <w:p w14:paraId="0DF4043B">
                  <w:pPr>
                    <w:pStyle w:val="28"/>
                    <w:rPr>
                      <w:color w:val="auto"/>
                    </w:rPr>
                  </w:pPr>
                  <w:r>
                    <w:rPr>
                      <w:rFonts w:hint="eastAsia"/>
                      <w:bCs/>
                      <w:color w:val="auto"/>
                    </w:rPr>
                    <w:t>密闭运输，临时堆料遮盖，施工围挡；洒水车、喷雾炮；车辆冲洗设施；环境保护警示牌</w:t>
                  </w:r>
                </w:p>
              </w:tc>
              <w:tc>
                <w:tcPr>
                  <w:tcW w:w="1856" w:type="pct"/>
                  <w:vAlign w:val="center"/>
                </w:tcPr>
                <w:p w14:paraId="7BEBF37F">
                  <w:pPr>
                    <w:pStyle w:val="28"/>
                    <w:rPr>
                      <w:color w:val="auto"/>
                    </w:rPr>
                  </w:pPr>
                  <w:r>
                    <w:rPr>
                      <w:rFonts w:hint="eastAsia"/>
                      <w:color w:val="auto"/>
                    </w:rPr>
                    <w:t>施工厂界扬尘满足《施工场界扬尘排放限值》（DB61/1078-2017）中相关标准限值</w:t>
                  </w:r>
                </w:p>
              </w:tc>
            </w:tr>
            <w:tr w14:paraId="181022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Align w:val="center"/>
                </w:tcPr>
                <w:p w14:paraId="30CCC387">
                  <w:pPr>
                    <w:pStyle w:val="28"/>
                    <w:rPr>
                      <w:color w:val="auto"/>
                    </w:rPr>
                  </w:pPr>
                  <w:r>
                    <w:rPr>
                      <w:rFonts w:hint="eastAsia"/>
                      <w:color w:val="auto"/>
                    </w:rPr>
                    <w:t>废水</w:t>
                  </w:r>
                </w:p>
              </w:tc>
              <w:tc>
                <w:tcPr>
                  <w:tcW w:w="2371" w:type="pct"/>
                  <w:gridSpan w:val="2"/>
                  <w:vAlign w:val="center"/>
                </w:tcPr>
                <w:p w14:paraId="4E76B20F">
                  <w:pPr>
                    <w:pStyle w:val="28"/>
                    <w:rPr>
                      <w:color w:val="auto"/>
                    </w:rPr>
                  </w:pPr>
                  <w:r>
                    <w:rPr>
                      <w:rFonts w:hint="eastAsia"/>
                      <w:bCs/>
                      <w:color w:val="auto"/>
                    </w:rPr>
                    <w:t>临时沉淀池（5</w:t>
                  </w:r>
                  <w:r>
                    <w:rPr>
                      <w:bCs/>
                      <w:color w:val="auto"/>
                    </w:rPr>
                    <w:t>m</w:t>
                  </w:r>
                  <w:r>
                    <w:rPr>
                      <w:bCs/>
                      <w:color w:val="auto"/>
                      <w:vertAlign w:val="superscript"/>
                    </w:rPr>
                    <w:t>3</w:t>
                  </w:r>
                  <w:r>
                    <w:rPr>
                      <w:rFonts w:hint="eastAsia"/>
                      <w:bCs/>
                      <w:color w:val="auto"/>
                    </w:rPr>
                    <w:t>，1座）</w:t>
                  </w:r>
                </w:p>
              </w:tc>
              <w:tc>
                <w:tcPr>
                  <w:tcW w:w="1856" w:type="pct"/>
                  <w:vAlign w:val="center"/>
                </w:tcPr>
                <w:p w14:paraId="68C13AC4">
                  <w:pPr>
                    <w:pStyle w:val="28"/>
                    <w:rPr>
                      <w:color w:val="auto"/>
                    </w:rPr>
                  </w:pPr>
                  <w:r>
                    <w:rPr>
                      <w:rFonts w:hint="eastAsia"/>
                      <w:color w:val="auto"/>
                    </w:rPr>
                    <w:t>施工废水不外排，施工结束后恢复原有地貌、植被</w:t>
                  </w:r>
                </w:p>
              </w:tc>
            </w:tr>
            <w:tr w14:paraId="1B370E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Align w:val="center"/>
                </w:tcPr>
                <w:p w14:paraId="2BDF74B4">
                  <w:pPr>
                    <w:pStyle w:val="28"/>
                    <w:rPr>
                      <w:color w:val="auto"/>
                    </w:rPr>
                  </w:pPr>
                  <w:r>
                    <w:rPr>
                      <w:color w:val="auto"/>
                    </w:rPr>
                    <w:t>噪声</w:t>
                  </w:r>
                </w:p>
              </w:tc>
              <w:tc>
                <w:tcPr>
                  <w:tcW w:w="2371" w:type="pct"/>
                  <w:gridSpan w:val="2"/>
                  <w:vAlign w:val="center"/>
                </w:tcPr>
                <w:p w14:paraId="647F6580">
                  <w:pPr>
                    <w:pStyle w:val="28"/>
                    <w:rPr>
                      <w:color w:val="auto"/>
                    </w:rPr>
                  </w:pPr>
                  <w:r>
                    <w:rPr>
                      <w:rFonts w:hint="eastAsia"/>
                      <w:bCs/>
                      <w:color w:val="auto"/>
                    </w:rPr>
                    <w:t>加强设备维护和保养；选用低噪声施工机械或工艺</w:t>
                  </w:r>
                </w:p>
              </w:tc>
              <w:tc>
                <w:tcPr>
                  <w:tcW w:w="1856" w:type="pct"/>
                  <w:vAlign w:val="center"/>
                </w:tcPr>
                <w:p w14:paraId="765CB945">
                  <w:pPr>
                    <w:pStyle w:val="28"/>
                    <w:rPr>
                      <w:color w:val="auto"/>
                    </w:rPr>
                  </w:pPr>
                  <w:r>
                    <w:rPr>
                      <w:rFonts w:hint="eastAsia"/>
                      <w:color w:val="auto"/>
                    </w:rPr>
                    <w:t>施工期厂界噪声满足《建筑施工场界环境噪声排放标准》（GB12523-2011）表1中相关标准限值</w:t>
                  </w:r>
                </w:p>
              </w:tc>
            </w:tr>
            <w:tr w14:paraId="1ABF628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Merge w:val="restart"/>
                  <w:vAlign w:val="center"/>
                </w:tcPr>
                <w:p w14:paraId="0E0157DC">
                  <w:pPr>
                    <w:pStyle w:val="28"/>
                    <w:rPr>
                      <w:color w:val="auto"/>
                    </w:rPr>
                  </w:pPr>
                  <w:r>
                    <w:rPr>
                      <w:color w:val="auto"/>
                    </w:rPr>
                    <w:t>固废</w:t>
                  </w:r>
                </w:p>
              </w:tc>
              <w:tc>
                <w:tcPr>
                  <w:tcW w:w="1185" w:type="pct"/>
                  <w:vAlign w:val="center"/>
                </w:tcPr>
                <w:p w14:paraId="64232E3B">
                  <w:pPr>
                    <w:pStyle w:val="28"/>
                    <w:rPr>
                      <w:color w:val="auto"/>
                    </w:rPr>
                  </w:pPr>
                  <w:r>
                    <w:rPr>
                      <w:rFonts w:hint="eastAsia"/>
                      <w:bCs/>
                      <w:color w:val="auto"/>
                    </w:rPr>
                    <w:t>生活垃圾</w:t>
                  </w:r>
                </w:p>
              </w:tc>
              <w:tc>
                <w:tcPr>
                  <w:tcW w:w="1186" w:type="pct"/>
                  <w:vAlign w:val="center"/>
                </w:tcPr>
                <w:p w14:paraId="4773E033">
                  <w:pPr>
                    <w:pStyle w:val="28"/>
                    <w:rPr>
                      <w:color w:val="auto"/>
                    </w:rPr>
                  </w:pPr>
                  <w:r>
                    <w:rPr>
                      <w:rFonts w:hint="eastAsia"/>
                      <w:bCs/>
                      <w:color w:val="auto"/>
                    </w:rPr>
                    <w:t>临时垃圾箱，分类收集后按当地环卫部门规定外运</w:t>
                  </w:r>
                </w:p>
              </w:tc>
              <w:tc>
                <w:tcPr>
                  <w:tcW w:w="1856" w:type="pct"/>
                  <w:vMerge w:val="restart"/>
                  <w:vAlign w:val="center"/>
                </w:tcPr>
                <w:p w14:paraId="2033EA65">
                  <w:pPr>
                    <w:pStyle w:val="28"/>
                    <w:rPr>
                      <w:color w:val="auto"/>
                    </w:rPr>
                  </w:pPr>
                  <w:r>
                    <w:rPr>
                      <w:rFonts w:hint="eastAsia"/>
                      <w:color w:val="auto"/>
                    </w:rPr>
                    <w:t>施工期产生的固体废弃物1</w:t>
                  </w:r>
                  <w:r>
                    <w:rPr>
                      <w:color w:val="auto"/>
                    </w:rPr>
                    <w:t>00%</w:t>
                  </w:r>
                  <w:r>
                    <w:rPr>
                      <w:rFonts w:hint="eastAsia"/>
                      <w:color w:val="auto"/>
                    </w:rPr>
                    <w:t>合理处置</w:t>
                  </w:r>
                </w:p>
              </w:tc>
            </w:tr>
            <w:tr w14:paraId="63AF35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Merge w:val="continue"/>
                  <w:vAlign w:val="center"/>
                </w:tcPr>
                <w:p w14:paraId="6E10AE84">
                  <w:pPr>
                    <w:pStyle w:val="28"/>
                    <w:rPr>
                      <w:color w:val="auto"/>
                    </w:rPr>
                  </w:pPr>
                </w:p>
              </w:tc>
              <w:tc>
                <w:tcPr>
                  <w:tcW w:w="1185" w:type="pct"/>
                  <w:vAlign w:val="center"/>
                </w:tcPr>
                <w:p w14:paraId="56EA9265">
                  <w:pPr>
                    <w:pStyle w:val="28"/>
                    <w:rPr>
                      <w:color w:val="auto"/>
                    </w:rPr>
                  </w:pPr>
                  <w:r>
                    <w:rPr>
                      <w:rFonts w:hint="eastAsia"/>
                      <w:bCs/>
                      <w:color w:val="auto"/>
                    </w:rPr>
                    <w:t>施工固废</w:t>
                  </w:r>
                </w:p>
              </w:tc>
              <w:tc>
                <w:tcPr>
                  <w:tcW w:w="1186" w:type="pct"/>
                  <w:vAlign w:val="center"/>
                </w:tcPr>
                <w:p w14:paraId="79D664BE">
                  <w:pPr>
                    <w:pStyle w:val="28"/>
                    <w:rPr>
                      <w:color w:val="auto"/>
                    </w:rPr>
                  </w:pPr>
                  <w:r>
                    <w:rPr>
                      <w:rFonts w:hint="eastAsia"/>
                      <w:bCs/>
                      <w:color w:val="auto"/>
                    </w:rPr>
                    <w:t>建筑垃圾收集设施及清运</w:t>
                  </w:r>
                </w:p>
              </w:tc>
              <w:tc>
                <w:tcPr>
                  <w:tcW w:w="1856" w:type="pct"/>
                  <w:vMerge w:val="continue"/>
                  <w:vAlign w:val="center"/>
                </w:tcPr>
                <w:p w14:paraId="185CB528">
                  <w:pPr>
                    <w:pStyle w:val="28"/>
                    <w:rPr>
                      <w:color w:val="auto"/>
                    </w:rPr>
                  </w:pPr>
                </w:p>
              </w:tc>
            </w:tr>
            <w:tr w14:paraId="00CB05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73" w:type="pct"/>
                  <w:vAlign w:val="center"/>
                </w:tcPr>
                <w:p w14:paraId="170BCB8B">
                  <w:pPr>
                    <w:pStyle w:val="28"/>
                    <w:rPr>
                      <w:color w:val="auto"/>
                    </w:rPr>
                  </w:pPr>
                  <w:r>
                    <w:rPr>
                      <w:rFonts w:hint="eastAsia"/>
                      <w:color w:val="auto"/>
                    </w:rPr>
                    <w:t>生态环境</w:t>
                  </w:r>
                </w:p>
              </w:tc>
              <w:tc>
                <w:tcPr>
                  <w:tcW w:w="2371" w:type="pct"/>
                  <w:gridSpan w:val="2"/>
                  <w:vAlign w:val="center"/>
                </w:tcPr>
                <w:p w14:paraId="0AFCC07D">
                  <w:pPr>
                    <w:pStyle w:val="28"/>
                    <w:rPr>
                      <w:bCs/>
                      <w:color w:val="auto"/>
                    </w:rPr>
                  </w:pPr>
                  <w:r>
                    <w:rPr>
                      <w:rFonts w:hint="eastAsia"/>
                      <w:bCs/>
                      <w:color w:val="auto"/>
                    </w:rPr>
                    <w:t>建设完成后场地治理、植被恢复等</w:t>
                  </w:r>
                </w:p>
              </w:tc>
              <w:tc>
                <w:tcPr>
                  <w:tcW w:w="1856" w:type="pct"/>
                  <w:vAlign w:val="center"/>
                </w:tcPr>
                <w:p w14:paraId="50D37F09">
                  <w:pPr>
                    <w:pStyle w:val="28"/>
                    <w:rPr>
                      <w:color w:val="auto"/>
                    </w:rPr>
                  </w:pPr>
                  <w:r>
                    <w:rPr>
                      <w:rFonts w:hint="eastAsia"/>
                      <w:color w:val="auto"/>
                    </w:rPr>
                    <w:t>施工结束后恢复原有地貌、植被</w:t>
                  </w:r>
                </w:p>
              </w:tc>
            </w:tr>
          </w:tbl>
          <w:p w14:paraId="1F4C4EC8">
            <w:pPr>
              <w:pStyle w:val="37"/>
              <w:ind w:firstLine="480"/>
              <w:rPr>
                <w:color w:val="auto"/>
              </w:rPr>
            </w:pPr>
            <w:r>
              <w:rPr>
                <w:rFonts w:hint="eastAsia"/>
                <w:color w:val="auto"/>
                <w:lang w:val="en-US" w:eastAsia="zh-CN"/>
              </w:rPr>
              <w:t>2</w:t>
            </w:r>
            <w:r>
              <w:rPr>
                <w:rFonts w:hint="eastAsia"/>
                <w:color w:val="auto"/>
              </w:rPr>
              <w:t>、</w:t>
            </w:r>
            <w:r>
              <w:rPr>
                <w:color w:val="auto"/>
              </w:rPr>
              <w:t>环境管理</w:t>
            </w:r>
          </w:p>
          <w:p w14:paraId="5AA81C2F">
            <w:pPr>
              <w:pStyle w:val="37"/>
              <w:ind w:firstLine="480"/>
              <w:rPr>
                <w:color w:val="auto"/>
              </w:rPr>
            </w:pPr>
            <w:r>
              <w:rPr>
                <w:rFonts w:hint="eastAsia"/>
                <w:color w:val="auto"/>
              </w:rPr>
              <w:t>施工期环境管理计划见表</w:t>
            </w:r>
            <w:r>
              <w:rPr>
                <w:rFonts w:hint="eastAsia"/>
                <w:color w:val="auto"/>
                <w:lang w:val="en-US" w:eastAsia="zh-CN"/>
              </w:rPr>
              <w:t>15</w:t>
            </w:r>
            <w:r>
              <w:rPr>
                <w:rFonts w:hint="eastAsia"/>
                <w:color w:val="auto"/>
              </w:rPr>
              <w:t>。</w:t>
            </w:r>
          </w:p>
          <w:p w14:paraId="44142990">
            <w:pPr>
              <w:pStyle w:val="35"/>
              <w:rPr>
                <w:color w:val="auto"/>
              </w:rPr>
            </w:pPr>
            <w:r>
              <w:rPr>
                <w:rFonts w:hint="eastAsia"/>
                <w:color w:val="auto"/>
              </w:rPr>
              <w:t>表</w:t>
            </w:r>
            <w:r>
              <w:rPr>
                <w:rFonts w:hint="eastAsia"/>
                <w:color w:val="auto"/>
                <w:lang w:val="en-US" w:eastAsia="zh-CN"/>
              </w:rPr>
              <w:t xml:space="preserve">15   </w:t>
            </w:r>
            <w:r>
              <w:rPr>
                <w:rFonts w:hint="eastAsia"/>
                <w:color w:val="auto"/>
              </w:rPr>
              <w:t>施工期环境管理计划表</w:t>
            </w:r>
          </w:p>
          <w:tbl>
            <w:tblPr>
              <w:tblStyle w:val="18"/>
              <w:tblW w:w="4999"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72"/>
              <w:gridCol w:w="1174"/>
              <w:gridCol w:w="6152"/>
            </w:tblGrid>
            <w:tr w14:paraId="181512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12" w:space="0"/>
                    <w:bottom w:val="single" w:color="auto" w:sz="6" w:space="0"/>
                    <w:right w:val="single" w:color="auto" w:sz="6" w:space="0"/>
                  </w:tcBorders>
                  <w:vAlign w:val="center"/>
                </w:tcPr>
                <w:p w14:paraId="7E62C425">
                  <w:pPr>
                    <w:pStyle w:val="28"/>
                    <w:rPr>
                      <w:color w:val="auto"/>
                    </w:rPr>
                  </w:pPr>
                  <w:r>
                    <w:rPr>
                      <w:rFonts w:hint="eastAsia"/>
                      <w:color w:val="auto"/>
                    </w:rPr>
                    <w:t>序号</w:t>
                  </w:r>
                </w:p>
              </w:tc>
              <w:tc>
                <w:tcPr>
                  <w:tcW w:w="734" w:type="pct"/>
                  <w:tcBorders>
                    <w:top w:val="single" w:color="auto" w:sz="12" w:space="0"/>
                    <w:left w:val="single" w:color="auto" w:sz="6" w:space="0"/>
                    <w:bottom w:val="single" w:color="auto" w:sz="6" w:space="0"/>
                    <w:right w:val="single" w:color="auto" w:sz="6" w:space="0"/>
                  </w:tcBorders>
                  <w:vAlign w:val="center"/>
                </w:tcPr>
                <w:p w14:paraId="51EC97F1">
                  <w:pPr>
                    <w:pStyle w:val="28"/>
                    <w:rPr>
                      <w:color w:val="auto"/>
                    </w:rPr>
                  </w:pPr>
                  <w:r>
                    <w:rPr>
                      <w:rFonts w:hint="eastAsia"/>
                      <w:color w:val="auto"/>
                    </w:rPr>
                    <w:t>施工期</w:t>
                  </w:r>
                </w:p>
              </w:tc>
              <w:tc>
                <w:tcPr>
                  <w:tcW w:w="3846" w:type="pct"/>
                  <w:tcBorders>
                    <w:top w:val="single" w:color="auto" w:sz="12" w:space="0"/>
                    <w:left w:val="single" w:color="auto" w:sz="6" w:space="0"/>
                    <w:bottom w:val="single" w:color="auto" w:sz="6" w:space="0"/>
                  </w:tcBorders>
                  <w:vAlign w:val="center"/>
                </w:tcPr>
                <w:p w14:paraId="0B3F9A69">
                  <w:pPr>
                    <w:pStyle w:val="28"/>
                    <w:rPr>
                      <w:color w:val="auto"/>
                    </w:rPr>
                  </w:pPr>
                  <w:r>
                    <w:rPr>
                      <w:rFonts w:hint="eastAsia"/>
                      <w:color w:val="auto"/>
                    </w:rPr>
                    <w:t>管理内容</w:t>
                  </w:r>
                </w:p>
              </w:tc>
            </w:tr>
            <w:tr w14:paraId="0BB9230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6" w:space="0"/>
                    <w:right w:val="single" w:color="auto" w:sz="6" w:space="0"/>
                  </w:tcBorders>
                  <w:vAlign w:val="center"/>
                </w:tcPr>
                <w:p w14:paraId="0805B067">
                  <w:pPr>
                    <w:pStyle w:val="28"/>
                    <w:rPr>
                      <w:color w:val="auto"/>
                    </w:rPr>
                  </w:pPr>
                  <w:r>
                    <w:rPr>
                      <w:color w:val="auto"/>
                    </w:rPr>
                    <w:t>1</w:t>
                  </w:r>
                </w:p>
              </w:tc>
              <w:tc>
                <w:tcPr>
                  <w:tcW w:w="734" w:type="pct"/>
                  <w:tcBorders>
                    <w:top w:val="single" w:color="auto" w:sz="6" w:space="0"/>
                    <w:left w:val="single" w:color="auto" w:sz="6" w:space="0"/>
                    <w:bottom w:val="single" w:color="auto" w:sz="6" w:space="0"/>
                    <w:right w:val="single" w:color="auto" w:sz="6" w:space="0"/>
                  </w:tcBorders>
                  <w:vAlign w:val="center"/>
                </w:tcPr>
                <w:p w14:paraId="553F403F">
                  <w:pPr>
                    <w:pStyle w:val="28"/>
                    <w:rPr>
                      <w:color w:val="auto"/>
                    </w:rPr>
                  </w:pPr>
                  <w:r>
                    <w:rPr>
                      <w:rFonts w:hint="eastAsia"/>
                      <w:color w:val="auto"/>
                    </w:rPr>
                    <w:t>扬尘</w:t>
                  </w:r>
                </w:p>
                <w:p w14:paraId="00FC43FD">
                  <w:pPr>
                    <w:pStyle w:val="28"/>
                    <w:rPr>
                      <w:color w:val="auto"/>
                    </w:rPr>
                  </w:pPr>
                  <w:r>
                    <w:rPr>
                      <w:rFonts w:hint="eastAsia"/>
                      <w:color w:val="auto"/>
                    </w:rPr>
                    <w:t>空气污染</w:t>
                  </w:r>
                </w:p>
              </w:tc>
              <w:tc>
                <w:tcPr>
                  <w:tcW w:w="3845" w:type="pct"/>
                  <w:tcBorders>
                    <w:top w:val="single" w:color="auto" w:sz="6" w:space="0"/>
                    <w:left w:val="single" w:color="auto" w:sz="6" w:space="0"/>
                    <w:bottom w:val="single" w:color="auto" w:sz="6" w:space="0"/>
                  </w:tcBorders>
                </w:tcPr>
                <w:p w14:paraId="101049FC">
                  <w:pPr>
                    <w:pStyle w:val="28"/>
                    <w:jc w:val="both"/>
                    <w:rPr>
                      <w:color w:val="auto"/>
                    </w:rPr>
                  </w:pPr>
                  <w:r>
                    <w:rPr>
                      <w:rFonts w:hint="eastAsia"/>
                      <w:color w:val="auto"/>
                    </w:rPr>
                    <w:t>施工现场及运料道路无雨的天气定期洒水，防止尘土飞扬；</w:t>
                  </w:r>
                </w:p>
                <w:p w14:paraId="61F12899">
                  <w:pPr>
                    <w:pStyle w:val="28"/>
                    <w:jc w:val="both"/>
                    <w:rPr>
                      <w:color w:val="auto"/>
                    </w:rPr>
                  </w:pPr>
                  <w:r>
                    <w:rPr>
                      <w:rFonts w:hint="eastAsia"/>
                      <w:color w:val="auto"/>
                    </w:rPr>
                    <w:t>料堆和贮料场须遮盖或洒水以防止尘埃污染；</w:t>
                  </w:r>
                </w:p>
                <w:p w14:paraId="08132883">
                  <w:pPr>
                    <w:pStyle w:val="28"/>
                    <w:jc w:val="both"/>
                    <w:rPr>
                      <w:color w:val="auto"/>
                    </w:rPr>
                  </w:pPr>
                  <w:r>
                    <w:rPr>
                      <w:rFonts w:hint="eastAsia"/>
                      <w:color w:val="auto"/>
                    </w:rPr>
                    <w:t>运送建筑材料的</w:t>
                  </w:r>
                  <w:r>
                    <w:rPr>
                      <w:rFonts w:hint="eastAsia"/>
                      <w:color w:val="auto"/>
                      <w:lang w:eastAsia="zh-CN"/>
                    </w:rPr>
                    <w:t>卡车</w:t>
                  </w:r>
                  <w:r>
                    <w:rPr>
                      <w:rFonts w:hint="eastAsia"/>
                      <w:color w:val="auto"/>
                    </w:rPr>
                    <w:t>采用帆布等遮盖措施，减少跑漏。</w:t>
                  </w:r>
                </w:p>
              </w:tc>
            </w:tr>
            <w:tr w14:paraId="064E1E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6" w:space="0"/>
                    <w:right w:val="single" w:color="auto" w:sz="6" w:space="0"/>
                  </w:tcBorders>
                  <w:vAlign w:val="center"/>
                </w:tcPr>
                <w:p w14:paraId="230E201A">
                  <w:pPr>
                    <w:pStyle w:val="28"/>
                    <w:rPr>
                      <w:color w:val="auto"/>
                    </w:rPr>
                  </w:pPr>
                  <w:r>
                    <w:rPr>
                      <w:color w:val="auto"/>
                    </w:rPr>
                    <w:t>2</w:t>
                  </w:r>
                </w:p>
              </w:tc>
              <w:tc>
                <w:tcPr>
                  <w:tcW w:w="734" w:type="pct"/>
                  <w:tcBorders>
                    <w:top w:val="single" w:color="auto" w:sz="6" w:space="0"/>
                    <w:left w:val="single" w:color="auto" w:sz="6" w:space="0"/>
                    <w:bottom w:val="single" w:color="auto" w:sz="6" w:space="0"/>
                    <w:right w:val="single" w:color="auto" w:sz="6" w:space="0"/>
                  </w:tcBorders>
                  <w:vAlign w:val="center"/>
                </w:tcPr>
                <w:p w14:paraId="3D4E2601">
                  <w:pPr>
                    <w:pStyle w:val="28"/>
                    <w:rPr>
                      <w:color w:val="auto"/>
                    </w:rPr>
                  </w:pPr>
                  <w:r>
                    <w:rPr>
                      <w:rFonts w:hint="eastAsia"/>
                      <w:color w:val="auto"/>
                    </w:rPr>
                    <w:t>土壤侵蚀</w:t>
                  </w:r>
                </w:p>
                <w:p w14:paraId="209EFC82">
                  <w:pPr>
                    <w:pStyle w:val="28"/>
                    <w:rPr>
                      <w:color w:val="auto"/>
                    </w:rPr>
                  </w:pPr>
                  <w:r>
                    <w:rPr>
                      <w:rFonts w:hint="eastAsia"/>
                      <w:color w:val="auto"/>
                    </w:rPr>
                    <w:t>水污染</w:t>
                  </w:r>
                </w:p>
              </w:tc>
              <w:tc>
                <w:tcPr>
                  <w:tcW w:w="3845" w:type="pct"/>
                  <w:tcBorders>
                    <w:top w:val="single" w:color="auto" w:sz="6" w:space="0"/>
                    <w:left w:val="single" w:color="auto" w:sz="6" w:space="0"/>
                    <w:bottom w:val="single" w:color="auto" w:sz="6" w:space="0"/>
                  </w:tcBorders>
                </w:tcPr>
                <w:p w14:paraId="28C40F7A">
                  <w:pPr>
                    <w:pStyle w:val="28"/>
                    <w:jc w:val="both"/>
                    <w:rPr>
                      <w:color w:val="auto"/>
                    </w:rPr>
                  </w:pPr>
                  <w:r>
                    <w:rPr>
                      <w:rFonts w:hint="eastAsia"/>
                      <w:color w:val="auto"/>
                    </w:rPr>
                    <w:t>施工材料应备有临时遮挡的帆布，防止大风暴雨冲刷通过地表径流而进入水体。道路施工过程设沉淀池，废水沉淀后用于洒水、绿化。</w:t>
                  </w:r>
                </w:p>
              </w:tc>
            </w:tr>
            <w:tr w14:paraId="18F300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6" w:space="0"/>
                    <w:right w:val="single" w:color="auto" w:sz="6" w:space="0"/>
                  </w:tcBorders>
                  <w:vAlign w:val="center"/>
                </w:tcPr>
                <w:p w14:paraId="4BED3DAD">
                  <w:pPr>
                    <w:pStyle w:val="28"/>
                    <w:rPr>
                      <w:color w:val="auto"/>
                    </w:rPr>
                  </w:pPr>
                  <w:r>
                    <w:rPr>
                      <w:color w:val="auto"/>
                    </w:rPr>
                    <w:t>3</w:t>
                  </w:r>
                </w:p>
              </w:tc>
              <w:tc>
                <w:tcPr>
                  <w:tcW w:w="734" w:type="pct"/>
                  <w:tcBorders>
                    <w:top w:val="single" w:color="auto" w:sz="6" w:space="0"/>
                    <w:left w:val="single" w:color="auto" w:sz="6" w:space="0"/>
                    <w:bottom w:val="single" w:color="auto" w:sz="6" w:space="0"/>
                    <w:right w:val="single" w:color="auto" w:sz="6" w:space="0"/>
                  </w:tcBorders>
                  <w:vAlign w:val="center"/>
                </w:tcPr>
                <w:p w14:paraId="363BD3CF">
                  <w:pPr>
                    <w:pStyle w:val="28"/>
                    <w:rPr>
                      <w:color w:val="auto"/>
                    </w:rPr>
                  </w:pPr>
                  <w:r>
                    <w:rPr>
                      <w:rFonts w:hint="eastAsia"/>
                      <w:color w:val="auto"/>
                    </w:rPr>
                    <w:t>噪声</w:t>
                  </w:r>
                </w:p>
              </w:tc>
              <w:tc>
                <w:tcPr>
                  <w:tcW w:w="3845" w:type="pct"/>
                  <w:tcBorders>
                    <w:top w:val="single" w:color="auto" w:sz="6" w:space="0"/>
                    <w:left w:val="single" w:color="auto" w:sz="6" w:space="0"/>
                    <w:bottom w:val="single" w:color="auto" w:sz="6" w:space="0"/>
                  </w:tcBorders>
                </w:tcPr>
                <w:p w14:paraId="250B860D">
                  <w:pPr>
                    <w:pStyle w:val="28"/>
                    <w:jc w:val="both"/>
                    <w:rPr>
                      <w:color w:val="auto"/>
                    </w:rPr>
                  </w:pPr>
                  <w:r>
                    <w:rPr>
                      <w:rFonts w:hint="eastAsia"/>
                      <w:color w:val="auto"/>
                    </w:rPr>
                    <w:t>严格控制施工时间，在夜间（22:00</w:t>
                  </w:r>
                  <w:r>
                    <w:rPr>
                      <w:rFonts w:hint="eastAsia"/>
                      <w:color w:val="auto"/>
                      <w:lang w:eastAsia="zh-CN"/>
                    </w:rPr>
                    <w:t>～</w:t>
                  </w:r>
                  <w:r>
                    <w:rPr>
                      <w:rFonts w:hint="eastAsia"/>
                      <w:color w:val="auto"/>
                    </w:rPr>
                    <w:t>次日6:00）不得施工；运输材料车辆夜间不准鸣喇叭，地方道路交通高峰时停止或减少运输车辆通行，减少噪声影响。</w:t>
                  </w:r>
                </w:p>
              </w:tc>
            </w:tr>
            <w:tr w14:paraId="5F8D46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6" w:space="0"/>
                    <w:right w:val="single" w:color="auto" w:sz="6" w:space="0"/>
                  </w:tcBorders>
                  <w:vAlign w:val="center"/>
                </w:tcPr>
                <w:p w14:paraId="4B477A13">
                  <w:pPr>
                    <w:pStyle w:val="28"/>
                    <w:rPr>
                      <w:color w:val="auto"/>
                    </w:rPr>
                  </w:pPr>
                  <w:r>
                    <w:rPr>
                      <w:color w:val="auto"/>
                    </w:rPr>
                    <w:t>4</w:t>
                  </w:r>
                </w:p>
              </w:tc>
              <w:tc>
                <w:tcPr>
                  <w:tcW w:w="734" w:type="pct"/>
                  <w:tcBorders>
                    <w:top w:val="single" w:color="auto" w:sz="6" w:space="0"/>
                    <w:left w:val="single" w:color="auto" w:sz="6" w:space="0"/>
                    <w:bottom w:val="single" w:color="auto" w:sz="6" w:space="0"/>
                    <w:right w:val="single" w:color="auto" w:sz="6" w:space="0"/>
                  </w:tcBorders>
                  <w:vAlign w:val="center"/>
                </w:tcPr>
                <w:p w14:paraId="14AB7E0D">
                  <w:pPr>
                    <w:pStyle w:val="28"/>
                    <w:rPr>
                      <w:color w:val="auto"/>
                    </w:rPr>
                  </w:pPr>
                  <w:r>
                    <w:rPr>
                      <w:rFonts w:hint="eastAsia"/>
                      <w:color w:val="auto"/>
                    </w:rPr>
                    <w:t>固废</w:t>
                  </w:r>
                </w:p>
              </w:tc>
              <w:tc>
                <w:tcPr>
                  <w:tcW w:w="3845" w:type="pct"/>
                  <w:tcBorders>
                    <w:top w:val="single" w:color="auto" w:sz="6" w:space="0"/>
                    <w:left w:val="single" w:color="auto" w:sz="6" w:space="0"/>
                    <w:bottom w:val="single" w:color="auto" w:sz="6" w:space="0"/>
                  </w:tcBorders>
                </w:tcPr>
                <w:p w14:paraId="76B90596">
                  <w:pPr>
                    <w:pStyle w:val="28"/>
                    <w:jc w:val="both"/>
                    <w:rPr>
                      <w:color w:val="auto"/>
                    </w:rPr>
                  </w:pPr>
                  <w:r>
                    <w:rPr>
                      <w:rFonts w:hint="eastAsia"/>
                      <w:color w:val="auto"/>
                    </w:rPr>
                    <w:t>建筑垃圾应及时清运至政府指定地点，生活垃圾统一收集交由环卫部门统一处置。</w:t>
                  </w:r>
                </w:p>
              </w:tc>
            </w:tr>
            <w:tr w14:paraId="58D108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6" w:space="0"/>
                    <w:right w:val="single" w:color="auto" w:sz="6" w:space="0"/>
                  </w:tcBorders>
                  <w:vAlign w:val="center"/>
                </w:tcPr>
                <w:p w14:paraId="4755B80B">
                  <w:pPr>
                    <w:pStyle w:val="28"/>
                    <w:rPr>
                      <w:color w:val="auto"/>
                    </w:rPr>
                  </w:pPr>
                  <w:r>
                    <w:rPr>
                      <w:color w:val="auto"/>
                    </w:rPr>
                    <w:t>5</w:t>
                  </w:r>
                </w:p>
              </w:tc>
              <w:tc>
                <w:tcPr>
                  <w:tcW w:w="734" w:type="pct"/>
                  <w:tcBorders>
                    <w:top w:val="single" w:color="auto" w:sz="6" w:space="0"/>
                    <w:left w:val="single" w:color="auto" w:sz="6" w:space="0"/>
                    <w:bottom w:val="single" w:color="auto" w:sz="6" w:space="0"/>
                    <w:right w:val="single" w:color="auto" w:sz="6" w:space="0"/>
                  </w:tcBorders>
                  <w:vAlign w:val="center"/>
                </w:tcPr>
                <w:p w14:paraId="21ABB488">
                  <w:pPr>
                    <w:pStyle w:val="28"/>
                    <w:rPr>
                      <w:color w:val="auto"/>
                    </w:rPr>
                  </w:pPr>
                  <w:r>
                    <w:rPr>
                      <w:rFonts w:hint="eastAsia"/>
                      <w:color w:val="auto"/>
                    </w:rPr>
                    <w:t>运输管理</w:t>
                  </w:r>
                </w:p>
              </w:tc>
              <w:tc>
                <w:tcPr>
                  <w:tcW w:w="3845" w:type="pct"/>
                  <w:tcBorders>
                    <w:top w:val="single" w:color="auto" w:sz="6" w:space="0"/>
                    <w:left w:val="single" w:color="auto" w:sz="6" w:space="0"/>
                    <w:bottom w:val="single" w:color="auto" w:sz="6" w:space="0"/>
                  </w:tcBorders>
                </w:tcPr>
                <w:p w14:paraId="7F5FFA50">
                  <w:pPr>
                    <w:pStyle w:val="28"/>
                    <w:jc w:val="both"/>
                    <w:rPr>
                      <w:color w:val="auto"/>
                    </w:rPr>
                  </w:pPr>
                  <w:r>
                    <w:rPr>
                      <w:rFonts w:hint="eastAsia"/>
                      <w:color w:val="auto"/>
                    </w:rPr>
                    <w:t>建筑材料的运送路线应仔细选定，避免长途运输，应尽量避免影响现有的交通设施，减少尘埃和噪声污染。制订合适的建筑材料运输计划，避开现有道路交通高峰。</w:t>
                  </w:r>
                </w:p>
              </w:tc>
            </w:tr>
            <w:tr w14:paraId="5EE5150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0" w:type="pct"/>
                  <w:tcBorders>
                    <w:top w:val="single" w:color="auto" w:sz="6" w:space="0"/>
                    <w:bottom w:val="single" w:color="auto" w:sz="12" w:space="0"/>
                    <w:right w:val="single" w:color="auto" w:sz="6" w:space="0"/>
                  </w:tcBorders>
                  <w:vAlign w:val="center"/>
                </w:tcPr>
                <w:p w14:paraId="496F468E">
                  <w:pPr>
                    <w:pStyle w:val="28"/>
                    <w:rPr>
                      <w:color w:val="auto"/>
                    </w:rPr>
                  </w:pPr>
                  <w:r>
                    <w:rPr>
                      <w:color w:val="auto"/>
                    </w:rPr>
                    <w:t>6</w:t>
                  </w:r>
                </w:p>
              </w:tc>
              <w:tc>
                <w:tcPr>
                  <w:tcW w:w="734" w:type="pct"/>
                  <w:tcBorders>
                    <w:top w:val="single" w:color="auto" w:sz="6" w:space="0"/>
                    <w:left w:val="single" w:color="auto" w:sz="6" w:space="0"/>
                    <w:bottom w:val="single" w:color="auto" w:sz="12" w:space="0"/>
                    <w:right w:val="single" w:color="auto" w:sz="6" w:space="0"/>
                  </w:tcBorders>
                  <w:vAlign w:val="center"/>
                </w:tcPr>
                <w:p w14:paraId="125203CE">
                  <w:pPr>
                    <w:pStyle w:val="28"/>
                    <w:rPr>
                      <w:color w:val="auto"/>
                    </w:rPr>
                  </w:pPr>
                  <w:r>
                    <w:rPr>
                      <w:rFonts w:hint="eastAsia"/>
                      <w:color w:val="auto"/>
                    </w:rPr>
                    <w:t>施工管理</w:t>
                  </w:r>
                </w:p>
              </w:tc>
              <w:tc>
                <w:tcPr>
                  <w:tcW w:w="3846" w:type="pct"/>
                  <w:tcBorders>
                    <w:top w:val="single" w:color="auto" w:sz="6" w:space="0"/>
                    <w:left w:val="single" w:color="auto" w:sz="6" w:space="0"/>
                    <w:bottom w:val="single" w:color="auto" w:sz="12" w:space="0"/>
                  </w:tcBorders>
                </w:tcPr>
                <w:p w14:paraId="34721EB7">
                  <w:pPr>
                    <w:pStyle w:val="28"/>
                    <w:jc w:val="both"/>
                    <w:rPr>
                      <w:color w:val="auto"/>
                    </w:rPr>
                  </w:pPr>
                  <w:r>
                    <w:rPr>
                      <w:rFonts w:hint="eastAsia"/>
                      <w:color w:val="auto"/>
                    </w:rPr>
                    <w:t>应</w:t>
                  </w:r>
                  <w:r>
                    <w:rPr>
                      <w:rFonts w:hint="eastAsia"/>
                      <w:color w:val="auto"/>
                      <w:lang w:eastAsia="zh-CN"/>
                    </w:rPr>
                    <w:t>增强</w:t>
                  </w:r>
                  <w:r>
                    <w:rPr>
                      <w:rFonts w:hint="eastAsia"/>
                      <w:color w:val="auto"/>
                    </w:rPr>
                    <w:t>环保意识，加强施工现场的环境管理，合理安排施工计划，切实做到组织计划严谨，文明施工。工程施工完毕后施工单位及时清理和恢复施工现场，妥善处理施工弃渣，减少扬尘。</w:t>
                  </w:r>
                </w:p>
              </w:tc>
            </w:tr>
          </w:tbl>
          <w:p w14:paraId="547CD1E3">
            <w:pPr>
              <w:pStyle w:val="37"/>
              <w:ind w:firstLine="480"/>
              <w:rPr>
                <w:color w:val="auto"/>
              </w:rPr>
            </w:pPr>
          </w:p>
        </w:tc>
      </w:tr>
      <w:tr w14:paraId="6666E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04" w:hRule="atLeast"/>
          <w:jc w:val="center"/>
        </w:trPr>
        <w:tc>
          <w:tcPr>
            <w:tcW w:w="818" w:type="dxa"/>
            <w:vAlign w:val="center"/>
          </w:tcPr>
          <w:p w14:paraId="23E5D0CE">
            <w:pPr>
              <w:pStyle w:val="37"/>
              <w:ind w:firstLine="0" w:firstLineChars="0"/>
              <w:jc w:val="center"/>
              <w:rPr>
                <w:color w:val="auto"/>
              </w:rPr>
            </w:pPr>
            <w:r>
              <w:rPr>
                <w:rFonts w:hint="eastAsia"/>
                <w:color w:val="auto"/>
              </w:rPr>
              <w:t>环保投资</w:t>
            </w:r>
          </w:p>
        </w:tc>
        <w:tc>
          <w:tcPr>
            <w:tcW w:w="8216" w:type="dxa"/>
          </w:tcPr>
          <w:p w14:paraId="1A4CCC11">
            <w:pPr>
              <w:pStyle w:val="37"/>
              <w:ind w:firstLine="480"/>
              <w:rPr>
                <w:color w:val="auto"/>
              </w:rPr>
            </w:pPr>
            <w:r>
              <w:rPr>
                <w:rFonts w:hint="eastAsia"/>
                <w:color w:val="auto"/>
              </w:rPr>
              <w:t>本项目总投资</w:t>
            </w:r>
            <w:r>
              <w:rPr>
                <w:rFonts w:hint="eastAsia"/>
                <w:color w:val="auto"/>
                <w:lang w:val="en-US" w:eastAsia="zh-CN"/>
              </w:rPr>
              <w:t>2344.08</w:t>
            </w:r>
            <w:r>
              <w:rPr>
                <w:rFonts w:hint="eastAsia"/>
                <w:color w:val="auto"/>
              </w:rPr>
              <w:t>万元，其中环保投资18</w:t>
            </w:r>
            <w:r>
              <w:rPr>
                <w:rFonts w:hint="eastAsia"/>
                <w:color w:val="auto"/>
                <w:lang w:val="en-US" w:eastAsia="zh-CN"/>
              </w:rPr>
              <w:t>.1</w:t>
            </w:r>
            <w:r>
              <w:rPr>
                <w:rFonts w:hint="eastAsia"/>
                <w:color w:val="auto"/>
              </w:rPr>
              <w:t>万元，占总投资的</w:t>
            </w:r>
            <w:r>
              <w:rPr>
                <w:rFonts w:hint="eastAsia"/>
                <w:color w:val="auto"/>
                <w:lang w:val="en-US" w:eastAsia="zh-CN"/>
              </w:rPr>
              <w:t>0.8</w:t>
            </w:r>
            <w:r>
              <w:rPr>
                <w:rFonts w:hint="eastAsia"/>
                <w:color w:val="auto"/>
              </w:rPr>
              <w:t>%。见下表</w:t>
            </w:r>
            <w:r>
              <w:rPr>
                <w:color w:val="auto"/>
              </w:rPr>
              <w:t>。</w:t>
            </w:r>
          </w:p>
          <w:p w14:paraId="740CDBDE">
            <w:pPr>
              <w:pStyle w:val="35"/>
              <w:rPr>
                <w:color w:val="auto"/>
              </w:rPr>
            </w:pPr>
            <w:r>
              <w:rPr>
                <w:rFonts w:hint="eastAsia"/>
                <w:color w:val="auto"/>
              </w:rPr>
              <w:t>表</w:t>
            </w:r>
            <w:r>
              <w:rPr>
                <w:rFonts w:hint="eastAsia"/>
                <w:color w:val="auto"/>
                <w:lang w:val="en-US" w:eastAsia="zh-CN"/>
              </w:rPr>
              <w:t xml:space="preserve">16   </w:t>
            </w:r>
            <w:r>
              <w:rPr>
                <w:rFonts w:hint="eastAsia"/>
                <w:color w:val="auto"/>
              </w:rPr>
              <w:t>环保投资估算表</w:t>
            </w:r>
          </w:p>
          <w:tbl>
            <w:tblPr>
              <w:tblStyle w:val="18"/>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autofit"/>
              <w:tblCellMar>
                <w:top w:w="0" w:type="dxa"/>
                <w:left w:w="108" w:type="dxa"/>
                <w:bottom w:w="0" w:type="dxa"/>
                <w:right w:w="108" w:type="dxa"/>
              </w:tblCellMar>
            </w:tblPr>
            <w:tblGrid>
              <w:gridCol w:w="835"/>
              <w:gridCol w:w="560"/>
              <w:gridCol w:w="688"/>
              <w:gridCol w:w="3675"/>
              <w:gridCol w:w="2242"/>
            </w:tblGrid>
            <w:tr w14:paraId="69B37DE4">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522" w:type="pct"/>
                  <w:vAlign w:val="center"/>
                </w:tcPr>
                <w:p w14:paraId="02013193">
                  <w:pPr>
                    <w:pStyle w:val="28"/>
                    <w:rPr>
                      <w:b/>
                      <w:bCs/>
                      <w:color w:val="auto"/>
                      <w:kern w:val="0"/>
                    </w:rPr>
                  </w:pPr>
                  <w:r>
                    <w:rPr>
                      <w:rFonts w:hint="eastAsia"/>
                      <w:b/>
                      <w:bCs/>
                      <w:color w:val="auto"/>
                    </w:rPr>
                    <w:t>分类</w:t>
                  </w:r>
                </w:p>
              </w:tc>
              <w:tc>
                <w:tcPr>
                  <w:tcW w:w="780" w:type="pct"/>
                  <w:gridSpan w:val="2"/>
                  <w:vAlign w:val="center"/>
                </w:tcPr>
                <w:p w14:paraId="1C6831F1">
                  <w:pPr>
                    <w:pStyle w:val="28"/>
                    <w:rPr>
                      <w:b/>
                      <w:bCs/>
                      <w:color w:val="auto"/>
                    </w:rPr>
                  </w:pPr>
                  <w:r>
                    <w:rPr>
                      <w:rFonts w:hint="eastAsia"/>
                      <w:b/>
                      <w:bCs/>
                      <w:color w:val="auto"/>
                    </w:rPr>
                    <w:t>项目</w:t>
                  </w:r>
                </w:p>
              </w:tc>
              <w:tc>
                <w:tcPr>
                  <w:tcW w:w="2297" w:type="pct"/>
                  <w:vAlign w:val="center"/>
                </w:tcPr>
                <w:p w14:paraId="572BE872">
                  <w:pPr>
                    <w:pStyle w:val="28"/>
                    <w:rPr>
                      <w:b/>
                      <w:bCs/>
                      <w:color w:val="auto"/>
                    </w:rPr>
                  </w:pPr>
                  <w:r>
                    <w:rPr>
                      <w:rFonts w:hint="eastAsia"/>
                      <w:b/>
                      <w:bCs/>
                      <w:color w:val="auto"/>
                    </w:rPr>
                    <w:t>采取的治理措施</w:t>
                  </w:r>
                </w:p>
              </w:tc>
              <w:tc>
                <w:tcPr>
                  <w:tcW w:w="1401" w:type="pct"/>
                  <w:vAlign w:val="center"/>
                </w:tcPr>
                <w:p w14:paraId="1BE5866B">
                  <w:pPr>
                    <w:pStyle w:val="28"/>
                    <w:rPr>
                      <w:b/>
                      <w:bCs/>
                      <w:color w:val="auto"/>
                    </w:rPr>
                  </w:pPr>
                  <w:r>
                    <w:rPr>
                      <w:rFonts w:hint="eastAsia"/>
                      <w:b/>
                      <w:bCs/>
                      <w:color w:val="auto"/>
                    </w:rPr>
                    <w:t>投资金额（万元）</w:t>
                  </w:r>
                </w:p>
              </w:tc>
            </w:tr>
            <w:tr w14:paraId="2C8EA554">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522" w:type="pct"/>
                  <w:vMerge w:val="restart"/>
                  <w:vAlign w:val="center"/>
                </w:tcPr>
                <w:p w14:paraId="073BC198">
                  <w:pPr>
                    <w:pStyle w:val="28"/>
                    <w:rPr>
                      <w:bCs/>
                      <w:color w:val="auto"/>
                    </w:rPr>
                  </w:pPr>
                  <w:r>
                    <w:rPr>
                      <w:rFonts w:hint="eastAsia"/>
                      <w:bCs/>
                      <w:color w:val="auto"/>
                    </w:rPr>
                    <w:t>环境</w:t>
                  </w:r>
                </w:p>
                <w:p w14:paraId="74F5F59C">
                  <w:pPr>
                    <w:pStyle w:val="28"/>
                    <w:rPr>
                      <w:bCs/>
                      <w:color w:val="auto"/>
                    </w:rPr>
                  </w:pPr>
                  <w:r>
                    <w:rPr>
                      <w:rFonts w:hint="eastAsia"/>
                      <w:bCs/>
                      <w:color w:val="auto"/>
                    </w:rPr>
                    <w:t>保护</w:t>
                  </w:r>
                </w:p>
                <w:p w14:paraId="6E2413D2">
                  <w:pPr>
                    <w:pStyle w:val="28"/>
                    <w:rPr>
                      <w:bCs/>
                      <w:color w:val="auto"/>
                    </w:rPr>
                  </w:pPr>
                  <w:r>
                    <w:rPr>
                      <w:rFonts w:hint="eastAsia"/>
                      <w:bCs/>
                      <w:color w:val="auto"/>
                    </w:rPr>
                    <w:t>临时</w:t>
                  </w:r>
                </w:p>
                <w:p w14:paraId="6196E7ED">
                  <w:pPr>
                    <w:pStyle w:val="28"/>
                    <w:rPr>
                      <w:bCs/>
                      <w:color w:val="auto"/>
                    </w:rPr>
                  </w:pPr>
                  <w:r>
                    <w:rPr>
                      <w:rFonts w:hint="eastAsia"/>
                      <w:bCs/>
                      <w:color w:val="auto"/>
                    </w:rPr>
                    <w:t>措施</w:t>
                  </w:r>
                </w:p>
              </w:tc>
              <w:tc>
                <w:tcPr>
                  <w:tcW w:w="780" w:type="pct"/>
                  <w:gridSpan w:val="2"/>
                  <w:vMerge w:val="restart"/>
                  <w:vAlign w:val="center"/>
                </w:tcPr>
                <w:p w14:paraId="2FFD3D59">
                  <w:pPr>
                    <w:pStyle w:val="28"/>
                    <w:rPr>
                      <w:bCs/>
                      <w:color w:val="auto"/>
                    </w:rPr>
                  </w:pPr>
                  <w:r>
                    <w:rPr>
                      <w:rFonts w:hint="eastAsia"/>
                      <w:bCs/>
                      <w:color w:val="auto"/>
                    </w:rPr>
                    <w:t>废气治理</w:t>
                  </w:r>
                </w:p>
              </w:tc>
              <w:tc>
                <w:tcPr>
                  <w:tcW w:w="2297" w:type="pct"/>
                  <w:vAlign w:val="center"/>
                </w:tcPr>
                <w:p w14:paraId="30D8F2CE">
                  <w:pPr>
                    <w:pStyle w:val="28"/>
                    <w:rPr>
                      <w:bCs/>
                      <w:color w:val="auto"/>
                    </w:rPr>
                  </w:pPr>
                  <w:r>
                    <w:rPr>
                      <w:rFonts w:hint="eastAsia"/>
                      <w:bCs/>
                      <w:color w:val="auto"/>
                    </w:rPr>
                    <w:t>密闭运输，临时堆料采用密目网苫盖，施工围挡</w:t>
                  </w:r>
                </w:p>
              </w:tc>
              <w:tc>
                <w:tcPr>
                  <w:tcW w:w="1401" w:type="pct"/>
                  <w:vAlign w:val="center"/>
                </w:tcPr>
                <w:p w14:paraId="2A9783DF">
                  <w:pPr>
                    <w:pStyle w:val="28"/>
                    <w:rPr>
                      <w:bCs/>
                      <w:color w:val="auto"/>
                    </w:rPr>
                  </w:pPr>
                  <w:r>
                    <w:rPr>
                      <w:bCs/>
                      <w:color w:val="auto"/>
                    </w:rPr>
                    <w:t>6</w:t>
                  </w:r>
                </w:p>
              </w:tc>
            </w:tr>
            <w:tr w14:paraId="336D36C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522" w:type="pct"/>
                  <w:vMerge w:val="continue"/>
                  <w:vAlign w:val="center"/>
                </w:tcPr>
                <w:p w14:paraId="4DB824CF">
                  <w:pPr>
                    <w:pStyle w:val="28"/>
                    <w:rPr>
                      <w:bCs/>
                      <w:color w:val="auto"/>
                    </w:rPr>
                  </w:pPr>
                </w:p>
              </w:tc>
              <w:tc>
                <w:tcPr>
                  <w:tcW w:w="780" w:type="pct"/>
                  <w:gridSpan w:val="2"/>
                  <w:vMerge w:val="continue"/>
                  <w:vAlign w:val="center"/>
                </w:tcPr>
                <w:p w14:paraId="20E3CC7D">
                  <w:pPr>
                    <w:pStyle w:val="28"/>
                    <w:rPr>
                      <w:bCs/>
                      <w:color w:val="auto"/>
                    </w:rPr>
                  </w:pPr>
                </w:p>
              </w:tc>
              <w:tc>
                <w:tcPr>
                  <w:tcW w:w="2297" w:type="pct"/>
                  <w:vAlign w:val="center"/>
                </w:tcPr>
                <w:p w14:paraId="7137586B">
                  <w:pPr>
                    <w:pStyle w:val="28"/>
                    <w:rPr>
                      <w:bCs/>
                      <w:color w:val="auto"/>
                    </w:rPr>
                  </w:pPr>
                  <w:r>
                    <w:rPr>
                      <w:rFonts w:hint="eastAsia"/>
                      <w:bCs/>
                      <w:color w:val="auto"/>
                    </w:rPr>
                    <w:t>租用洒水车1台</w:t>
                  </w:r>
                </w:p>
              </w:tc>
              <w:tc>
                <w:tcPr>
                  <w:tcW w:w="1401" w:type="pct"/>
                  <w:vAlign w:val="center"/>
                </w:tcPr>
                <w:p w14:paraId="5CFC5942">
                  <w:pPr>
                    <w:pStyle w:val="28"/>
                    <w:rPr>
                      <w:bCs/>
                      <w:color w:val="auto"/>
                    </w:rPr>
                  </w:pPr>
                  <w:r>
                    <w:rPr>
                      <w:rFonts w:hint="eastAsia"/>
                      <w:bCs/>
                      <w:color w:val="auto"/>
                    </w:rPr>
                    <w:t>2</w:t>
                  </w:r>
                </w:p>
              </w:tc>
            </w:tr>
            <w:tr w14:paraId="29FAF621">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522" w:type="pct"/>
                  <w:vMerge w:val="continue"/>
                  <w:vAlign w:val="center"/>
                </w:tcPr>
                <w:p w14:paraId="109D5062">
                  <w:pPr>
                    <w:pStyle w:val="28"/>
                    <w:rPr>
                      <w:bCs/>
                      <w:color w:val="auto"/>
                    </w:rPr>
                  </w:pPr>
                </w:p>
              </w:tc>
              <w:tc>
                <w:tcPr>
                  <w:tcW w:w="780" w:type="pct"/>
                  <w:gridSpan w:val="2"/>
                  <w:vMerge w:val="continue"/>
                  <w:vAlign w:val="center"/>
                </w:tcPr>
                <w:p w14:paraId="70654349">
                  <w:pPr>
                    <w:pStyle w:val="28"/>
                    <w:rPr>
                      <w:bCs/>
                      <w:color w:val="auto"/>
                    </w:rPr>
                  </w:pPr>
                </w:p>
              </w:tc>
              <w:tc>
                <w:tcPr>
                  <w:tcW w:w="2297" w:type="pct"/>
                  <w:vAlign w:val="center"/>
                </w:tcPr>
                <w:p w14:paraId="192BC2F0">
                  <w:pPr>
                    <w:pStyle w:val="28"/>
                    <w:rPr>
                      <w:bCs/>
                      <w:color w:val="auto"/>
                    </w:rPr>
                  </w:pPr>
                  <w:r>
                    <w:rPr>
                      <w:rFonts w:hint="eastAsia"/>
                      <w:bCs/>
                      <w:color w:val="auto"/>
                    </w:rPr>
                    <w:t>车辆冲洗设施1套</w:t>
                  </w:r>
                </w:p>
              </w:tc>
              <w:tc>
                <w:tcPr>
                  <w:tcW w:w="1401" w:type="pct"/>
                  <w:vAlign w:val="center"/>
                </w:tcPr>
                <w:p w14:paraId="4448E79E">
                  <w:pPr>
                    <w:pStyle w:val="28"/>
                    <w:rPr>
                      <w:bCs/>
                      <w:color w:val="auto"/>
                    </w:rPr>
                  </w:pPr>
                  <w:r>
                    <w:rPr>
                      <w:rFonts w:hint="eastAsia"/>
                      <w:bCs/>
                      <w:color w:val="auto"/>
                    </w:rPr>
                    <w:t>2</w:t>
                  </w:r>
                </w:p>
              </w:tc>
            </w:tr>
            <w:tr w14:paraId="15A8989F">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continue"/>
                  <w:vAlign w:val="center"/>
                </w:tcPr>
                <w:p w14:paraId="6CFFEBA2">
                  <w:pPr>
                    <w:pStyle w:val="28"/>
                    <w:rPr>
                      <w:bCs/>
                      <w:color w:val="auto"/>
                      <w:kern w:val="0"/>
                    </w:rPr>
                  </w:pPr>
                </w:p>
              </w:tc>
              <w:tc>
                <w:tcPr>
                  <w:tcW w:w="780" w:type="pct"/>
                  <w:gridSpan w:val="2"/>
                  <w:vAlign w:val="center"/>
                </w:tcPr>
                <w:p w14:paraId="32E39A98">
                  <w:pPr>
                    <w:pStyle w:val="28"/>
                    <w:rPr>
                      <w:bCs/>
                      <w:color w:val="auto"/>
                    </w:rPr>
                  </w:pPr>
                  <w:r>
                    <w:rPr>
                      <w:rFonts w:hint="eastAsia"/>
                      <w:bCs/>
                      <w:color w:val="auto"/>
                    </w:rPr>
                    <w:t>噪声治理</w:t>
                  </w:r>
                </w:p>
              </w:tc>
              <w:tc>
                <w:tcPr>
                  <w:tcW w:w="2297" w:type="pct"/>
                  <w:vAlign w:val="center"/>
                </w:tcPr>
                <w:p w14:paraId="5E322DAA">
                  <w:pPr>
                    <w:pStyle w:val="28"/>
                    <w:rPr>
                      <w:bCs/>
                      <w:color w:val="auto"/>
                    </w:rPr>
                  </w:pPr>
                  <w:r>
                    <w:rPr>
                      <w:rFonts w:hint="eastAsia"/>
                      <w:bCs/>
                      <w:color w:val="auto"/>
                    </w:rPr>
                    <w:t>减速慢行标志，绕道行驶标志</w:t>
                  </w:r>
                </w:p>
              </w:tc>
              <w:tc>
                <w:tcPr>
                  <w:tcW w:w="1401" w:type="pct"/>
                  <w:vAlign w:val="center"/>
                </w:tcPr>
                <w:p w14:paraId="6DC6256B">
                  <w:pPr>
                    <w:pStyle w:val="28"/>
                    <w:rPr>
                      <w:bCs/>
                      <w:color w:val="auto"/>
                    </w:rPr>
                  </w:pPr>
                  <w:r>
                    <w:rPr>
                      <w:bCs/>
                      <w:color w:val="auto"/>
                    </w:rPr>
                    <w:t>0.3</w:t>
                  </w:r>
                </w:p>
              </w:tc>
            </w:tr>
            <w:tr w14:paraId="767EBED0">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continue"/>
                  <w:vAlign w:val="center"/>
                </w:tcPr>
                <w:p w14:paraId="69C3ACB7">
                  <w:pPr>
                    <w:pStyle w:val="28"/>
                    <w:rPr>
                      <w:bCs/>
                      <w:color w:val="auto"/>
                      <w:kern w:val="0"/>
                    </w:rPr>
                  </w:pPr>
                </w:p>
              </w:tc>
              <w:tc>
                <w:tcPr>
                  <w:tcW w:w="780" w:type="pct"/>
                  <w:gridSpan w:val="2"/>
                  <w:vMerge w:val="restart"/>
                  <w:vAlign w:val="center"/>
                </w:tcPr>
                <w:p w14:paraId="795BECD2">
                  <w:pPr>
                    <w:pStyle w:val="28"/>
                    <w:rPr>
                      <w:bCs/>
                      <w:color w:val="auto"/>
                    </w:rPr>
                  </w:pPr>
                  <w:r>
                    <w:rPr>
                      <w:rFonts w:hint="eastAsia"/>
                      <w:bCs/>
                      <w:color w:val="auto"/>
                    </w:rPr>
                    <w:t>废水治理</w:t>
                  </w:r>
                </w:p>
              </w:tc>
              <w:tc>
                <w:tcPr>
                  <w:tcW w:w="2297" w:type="pct"/>
                  <w:vAlign w:val="center"/>
                </w:tcPr>
                <w:p w14:paraId="0254C549">
                  <w:pPr>
                    <w:pStyle w:val="28"/>
                    <w:rPr>
                      <w:bCs/>
                      <w:color w:val="auto"/>
                    </w:rPr>
                  </w:pPr>
                  <w:r>
                    <w:rPr>
                      <w:rFonts w:hint="eastAsia"/>
                      <w:bCs/>
                      <w:color w:val="auto"/>
                    </w:rPr>
                    <w:t>临时沉淀池（5</w:t>
                  </w:r>
                  <w:r>
                    <w:rPr>
                      <w:bCs/>
                      <w:color w:val="auto"/>
                    </w:rPr>
                    <w:t>m</w:t>
                  </w:r>
                  <w:r>
                    <w:rPr>
                      <w:bCs/>
                      <w:color w:val="auto"/>
                      <w:vertAlign w:val="superscript"/>
                    </w:rPr>
                    <w:t>3</w:t>
                  </w:r>
                  <w:r>
                    <w:rPr>
                      <w:rFonts w:hint="eastAsia"/>
                      <w:bCs/>
                      <w:color w:val="auto"/>
                    </w:rPr>
                    <w:t>，1座）</w:t>
                  </w:r>
                </w:p>
              </w:tc>
              <w:tc>
                <w:tcPr>
                  <w:tcW w:w="1401" w:type="pct"/>
                  <w:vAlign w:val="center"/>
                </w:tcPr>
                <w:p w14:paraId="31BB745F">
                  <w:pPr>
                    <w:pStyle w:val="28"/>
                    <w:rPr>
                      <w:bCs/>
                      <w:color w:val="auto"/>
                    </w:rPr>
                  </w:pPr>
                  <w:r>
                    <w:rPr>
                      <w:bCs/>
                      <w:color w:val="auto"/>
                    </w:rPr>
                    <w:t>2</w:t>
                  </w:r>
                </w:p>
              </w:tc>
            </w:tr>
            <w:tr w14:paraId="783E84D6">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continue"/>
                  <w:vAlign w:val="center"/>
                </w:tcPr>
                <w:p w14:paraId="781FAC31">
                  <w:pPr>
                    <w:pStyle w:val="28"/>
                    <w:rPr>
                      <w:bCs/>
                      <w:color w:val="auto"/>
                      <w:kern w:val="0"/>
                    </w:rPr>
                  </w:pPr>
                </w:p>
              </w:tc>
              <w:tc>
                <w:tcPr>
                  <w:tcW w:w="780" w:type="pct"/>
                  <w:gridSpan w:val="2"/>
                  <w:vMerge w:val="continue"/>
                  <w:vAlign w:val="center"/>
                </w:tcPr>
                <w:p w14:paraId="31BBDF84">
                  <w:pPr>
                    <w:pStyle w:val="28"/>
                    <w:rPr>
                      <w:bCs/>
                      <w:color w:val="auto"/>
                    </w:rPr>
                  </w:pPr>
                </w:p>
              </w:tc>
              <w:tc>
                <w:tcPr>
                  <w:tcW w:w="2297" w:type="pct"/>
                  <w:vAlign w:val="center"/>
                </w:tcPr>
                <w:p w14:paraId="291C3C1F">
                  <w:pPr>
                    <w:pStyle w:val="28"/>
                    <w:rPr>
                      <w:bCs/>
                      <w:color w:val="auto"/>
                    </w:rPr>
                  </w:pPr>
                  <w:r>
                    <w:rPr>
                      <w:rFonts w:hint="eastAsia"/>
                      <w:bCs/>
                      <w:color w:val="auto"/>
                    </w:rPr>
                    <w:t>临时</w:t>
                  </w:r>
                  <w:r>
                    <w:rPr>
                      <w:rFonts w:hint="eastAsia"/>
                      <w:bCs/>
                      <w:color w:val="auto"/>
                      <w:lang w:eastAsia="zh-CN"/>
                    </w:rPr>
                    <w:t>化粪池</w:t>
                  </w:r>
                  <w:r>
                    <w:rPr>
                      <w:rFonts w:hint="eastAsia"/>
                      <w:bCs/>
                      <w:color w:val="auto"/>
                      <w:lang w:val="en-US" w:eastAsia="zh-CN"/>
                    </w:rPr>
                    <w:t>1</w:t>
                  </w:r>
                  <w:r>
                    <w:rPr>
                      <w:rFonts w:hint="eastAsia"/>
                      <w:bCs/>
                      <w:color w:val="auto"/>
                    </w:rPr>
                    <w:t>座</w:t>
                  </w:r>
                </w:p>
              </w:tc>
              <w:tc>
                <w:tcPr>
                  <w:tcW w:w="1401" w:type="pct"/>
                  <w:vAlign w:val="center"/>
                </w:tcPr>
                <w:p w14:paraId="46365F6C">
                  <w:pPr>
                    <w:pStyle w:val="28"/>
                    <w:rPr>
                      <w:rFonts w:hint="default" w:eastAsia="宋体"/>
                      <w:bCs/>
                      <w:color w:val="auto"/>
                      <w:lang w:val="en-US" w:eastAsia="zh-CN"/>
                    </w:rPr>
                  </w:pPr>
                  <w:r>
                    <w:rPr>
                      <w:rFonts w:hint="eastAsia"/>
                      <w:bCs/>
                      <w:color w:val="auto"/>
                      <w:lang w:val="en-US" w:eastAsia="zh-CN"/>
                    </w:rPr>
                    <w:t>0.6</w:t>
                  </w:r>
                </w:p>
              </w:tc>
            </w:tr>
            <w:tr w14:paraId="7F6C77A2">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continue"/>
                  <w:vAlign w:val="center"/>
                </w:tcPr>
                <w:p w14:paraId="65E7ABD9">
                  <w:pPr>
                    <w:pStyle w:val="28"/>
                    <w:rPr>
                      <w:bCs/>
                      <w:color w:val="auto"/>
                      <w:kern w:val="0"/>
                    </w:rPr>
                  </w:pPr>
                </w:p>
              </w:tc>
              <w:tc>
                <w:tcPr>
                  <w:tcW w:w="350" w:type="pct"/>
                  <w:vMerge w:val="restart"/>
                  <w:vAlign w:val="center"/>
                </w:tcPr>
                <w:p w14:paraId="120831A0">
                  <w:pPr>
                    <w:pStyle w:val="28"/>
                    <w:rPr>
                      <w:bCs/>
                      <w:color w:val="auto"/>
                    </w:rPr>
                  </w:pPr>
                  <w:r>
                    <w:rPr>
                      <w:rFonts w:hint="eastAsia"/>
                      <w:bCs/>
                      <w:color w:val="auto"/>
                    </w:rPr>
                    <w:t>固废</w:t>
                  </w:r>
                </w:p>
              </w:tc>
              <w:tc>
                <w:tcPr>
                  <w:tcW w:w="430" w:type="pct"/>
                  <w:vAlign w:val="center"/>
                </w:tcPr>
                <w:p w14:paraId="6E2F2E0D">
                  <w:pPr>
                    <w:pStyle w:val="28"/>
                    <w:rPr>
                      <w:bCs/>
                      <w:color w:val="auto"/>
                    </w:rPr>
                  </w:pPr>
                  <w:r>
                    <w:rPr>
                      <w:rFonts w:hint="eastAsia"/>
                      <w:bCs/>
                      <w:color w:val="auto"/>
                    </w:rPr>
                    <w:t>生活垃圾</w:t>
                  </w:r>
                </w:p>
              </w:tc>
              <w:tc>
                <w:tcPr>
                  <w:tcW w:w="2297" w:type="pct"/>
                  <w:vAlign w:val="center"/>
                </w:tcPr>
                <w:p w14:paraId="63FEE8E7">
                  <w:pPr>
                    <w:pStyle w:val="28"/>
                    <w:rPr>
                      <w:bCs/>
                      <w:color w:val="auto"/>
                    </w:rPr>
                  </w:pPr>
                  <w:r>
                    <w:rPr>
                      <w:rFonts w:hint="eastAsia"/>
                      <w:bCs/>
                      <w:color w:val="auto"/>
                    </w:rPr>
                    <w:t>垃圾桶若干，分类收集后交由当地环卫部门清运</w:t>
                  </w:r>
                </w:p>
              </w:tc>
              <w:tc>
                <w:tcPr>
                  <w:tcW w:w="1401" w:type="pct"/>
                  <w:vAlign w:val="center"/>
                </w:tcPr>
                <w:p w14:paraId="13FC29E6">
                  <w:pPr>
                    <w:pStyle w:val="28"/>
                    <w:rPr>
                      <w:bCs/>
                      <w:color w:val="auto"/>
                    </w:rPr>
                  </w:pPr>
                  <w:r>
                    <w:rPr>
                      <w:rFonts w:hint="eastAsia"/>
                      <w:bCs/>
                      <w:color w:val="auto"/>
                    </w:rPr>
                    <w:t>0</w:t>
                  </w:r>
                  <w:r>
                    <w:rPr>
                      <w:bCs/>
                      <w:color w:val="auto"/>
                    </w:rPr>
                    <w:t>.2</w:t>
                  </w:r>
                </w:p>
              </w:tc>
            </w:tr>
            <w:tr w14:paraId="05210D70">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0" w:type="auto"/>
                  <w:vMerge w:val="continue"/>
                  <w:vAlign w:val="center"/>
                </w:tcPr>
                <w:p w14:paraId="001BB27B">
                  <w:pPr>
                    <w:pStyle w:val="28"/>
                    <w:rPr>
                      <w:bCs/>
                      <w:color w:val="auto"/>
                      <w:kern w:val="0"/>
                    </w:rPr>
                  </w:pPr>
                </w:p>
              </w:tc>
              <w:tc>
                <w:tcPr>
                  <w:tcW w:w="0" w:type="auto"/>
                  <w:vMerge w:val="continue"/>
                  <w:vAlign w:val="center"/>
                </w:tcPr>
                <w:p w14:paraId="256210E1">
                  <w:pPr>
                    <w:pStyle w:val="28"/>
                    <w:rPr>
                      <w:bCs/>
                      <w:color w:val="auto"/>
                      <w:kern w:val="0"/>
                    </w:rPr>
                  </w:pPr>
                </w:p>
              </w:tc>
              <w:tc>
                <w:tcPr>
                  <w:tcW w:w="430" w:type="pct"/>
                  <w:vAlign w:val="center"/>
                </w:tcPr>
                <w:p w14:paraId="76352B75">
                  <w:pPr>
                    <w:pStyle w:val="28"/>
                    <w:rPr>
                      <w:bCs/>
                      <w:color w:val="auto"/>
                    </w:rPr>
                  </w:pPr>
                  <w:r>
                    <w:rPr>
                      <w:rFonts w:hint="eastAsia"/>
                      <w:bCs/>
                      <w:color w:val="auto"/>
                    </w:rPr>
                    <w:t>施工固废</w:t>
                  </w:r>
                </w:p>
              </w:tc>
              <w:tc>
                <w:tcPr>
                  <w:tcW w:w="2297" w:type="pct"/>
                  <w:vAlign w:val="center"/>
                </w:tcPr>
                <w:p w14:paraId="69599E18">
                  <w:pPr>
                    <w:pStyle w:val="28"/>
                    <w:rPr>
                      <w:bCs/>
                      <w:color w:val="auto"/>
                    </w:rPr>
                  </w:pPr>
                  <w:r>
                    <w:rPr>
                      <w:rFonts w:hint="eastAsia"/>
                      <w:bCs/>
                      <w:color w:val="auto"/>
                    </w:rPr>
                    <w:t>建筑垃圾收集设施及清运</w:t>
                  </w:r>
                </w:p>
              </w:tc>
              <w:tc>
                <w:tcPr>
                  <w:tcW w:w="1401" w:type="pct"/>
                  <w:vAlign w:val="center"/>
                </w:tcPr>
                <w:p w14:paraId="7B5149B2">
                  <w:pPr>
                    <w:pStyle w:val="28"/>
                    <w:rPr>
                      <w:bCs/>
                      <w:color w:val="auto"/>
                    </w:rPr>
                  </w:pPr>
                  <w:r>
                    <w:rPr>
                      <w:bCs/>
                      <w:color w:val="auto"/>
                    </w:rPr>
                    <w:t>5</w:t>
                  </w:r>
                </w:p>
              </w:tc>
            </w:tr>
            <w:tr w14:paraId="40DADF65">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1302" w:type="pct"/>
                  <w:gridSpan w:val="3"/>
                  <w:vAlign w:val="center"/>
                </w:tcPr>
                <w:p w14:paraId="1C5216D6">
                  <w:pPr>
                    <w:pStyle w:val="28"/>
                    <w:rPr>
                      <w:bCs/>
                      <w:color w:val="auto"/>
                    </w:rPr>
                  </w:pPr>
                  <w:r>
                    <w:rPr>
                      <w:rFonts w:hint="eastAsia"/>
                      <w:bCs/>
                      <w:color w:val="auto"/>
                    </w:rPr>
                    <w:t>生态恢复</w:t>
                  </w:r>
                </w:p>
              </w:tc>
              <w:tc>
                <w:tcPr>
                  <w:tcW w:w="2297" w:type="pct"/>
                  <w:vAlign w:val="center"/>
                </w:tcPr>
                <w:p w14:paraId="4E589A68">
                  <w:pPr>
                    <w:pStyle w:val="28"/>
                    <w:rPr>
                      <w:bCs/>
                      <w:color w:val="auto"/>
                    </w:rPr>
                  </w:pPr>
                  <w:r>
                    <w:rPr>
                      <w:rFonts w:hint="eastAsia"/>
                      <w:bCs/>
                      <w:color w:val="auto"/>
                    </w:rPr>
                    <w:t>建设完成后场地治理、植被恢复等</w:t>
                  </w:r>
                </w:p>
              </w:tc>
              <w:tc>
                <w:tcPr>
                  <w:tcW w:w="1401" w:type="pct"/>
                  <w:vAlign w:val="center"/>
                </w:tcPr>
                <w:p w14:paraId="3FCE6AD3">
                  <w:pPr>
                    <w:pStyle w:val="28"/>
                    <w:rPr>
                      <w:bCs/>
                      <w:color w:val="auto"/>
                    </w:rPr>
                  </w:pPr>
                  <w:r>
                    <w:rPr>
                      <w:rFonts w:hint="eastAsia"/>
                      <w:bCs/>
                      <w:color w:val="auto"/>
                    </w:rPr>
                    <w:t>纳入水土保持投资</w:t>
                  </w:r>
                </w:p>
              </w:tc>
            </w:tr>
            <w:tr w14:paraId="53DCEA40">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CellMar>
                  <w:top w:w="0" w:type="dxa"/>
                  <w:left w:w="108" w:type="dxa"/>
                  <w:bottom w:w="0" w:type="dxa"/>
                  <w:right w:w="108" w:type="dxa"/>
                </w:tblCellMar>
              </w:tblPrEx>
              <w:trPr>
                <w:trHeight w:val="283" w:hRule="atLeast"/>
                <w:jc w:val="center"/>
              </w:trPr>
              <w:tc>
                <w:tcPr>
                  <w:tcW w:w="3599" w:type="pct"/>
                  <w:gridSpan w:val="4"/>
                  <w:vAlign w:val="center"/>
                </w:tcPr>
                <w:p w14:paraId="73A301FD">
                  <w:pPr>
                    <w:pStyle w:val="28"/>
                    <w:rPr>
                      <w:bCs/>
                      <w:color w:val="auto"/>
                    </w:rPr>
                  </w:pPr>
                  <w:r>
                    <w:rPr>
                      <w:rFonts w:hint="eastAsia"/>
                      <w:bCs/>
                      <w:color w:val="auto"/>
                    </w:rPr>
                    <w:t>合计</w:t>
                  </w:r>
                </w:p>
              </w:tc>
              <w:tc>
                <w:tcPr>
                  <w:tcW w:w="1401" w:type="pct"/>
                  <w:vAlign w:val="center"/>
                </w:tcPr>
                <w:p w14:paraId="4EAE6126">
                  <w:pPr>
                    <w:pStyle w:val="28"/>
                    <w:rPr>
                      <w:rFonts w:hint="default" w:eastAsia="宋体"/>
                      <w:bCs/>
                      <w:color w:val="auto"/>
                      <w:lang w:val="en-US" w:eastAsia="zh-CN"/>
                    </w:rPr>
                  </w:pPr>
                  <w:r>
                    <w:rPr>
                      <w:bCs/>
                      <w:color w:val="auto"/>
                    </w:rPr>
                    <w:t>18</w:t>
                  </w:r>
                  <w:r>
                    <w:rPr>
                      <w:rFonts w:hint="eastAsia"/>
                      <w:bCs/>
                      <w:color w:val="auto"/>
                      <w:lang w:val="en-US" w:eastAsia="zh-CN"/>
                    </w:rPr>
                    <w:t>.1</w:t>
                  </w:r>
                </w:p>
              </w:tc>
            </w:tr>
          </w:tbl>
          <w:p w14:paraId="73D339FA">
            <w:pPr>
              <w:jc w:val="both"/>
              <w:rPr>
                <w:color w:val="auto"/>
              </w:rPr>
            </w:pPr>
          </w:p>
          <w:p w14:paraId="07C3FF93">
            <w:pPr>
              <w:jc w:val="both"/>
              <w:rPr>
                <w:color w:val="auto"/>
              </w:rPr>
            </w:pPr>
          </w:p>
          <w:p w14:paraId="0285C1EB">
            <w:pPr>
              <w:jc w:val="both"/>
              <w:rPr>
                <w:color w:val="auto"/>
              </w:rPr>
            </w:pPr>
          </w:p>
        </w:tc>
      </w:tr>
    </w:tbl>
    <w:p w14:paraId="43B2B87C">
      <w:pPr>
        <w:ind w:firstLine="480"/>
        <w:rPr>
          <w:color w:val="auto"/>
        </w:rPr>
        <w:sectPr>
          <w:pgSz w:w="11906" w:h="16838"/>
          <w:pgMar w:top="1440" w:right="1559" w:bottom="1440" w:left="1531" w:header="851" w:footer="992" w:gutter="0"/>
          <w:cols w:space="425" w:num="1"/>
          <w:docGrid w:type="lines" w:linePitch="326" w:charSpace="0"/>
        </w:sectPr>
      </w:pPr>
    </w:p>
    <w:p w14:paraId="499C4A42">
      <w:pPr>
        <w:pStyle w:val="29"/>
        <w:rPr>
          <w:snapToGrid w:val="0"/>
          <w:color w:val="auto"/>
        </w:rPr>
      </w:pPr>
      <w:r>
        <w:rPr>
          <w:rFonts w:hint="eastAsia"/>
          <w:snapToGrid w:val="0"/>
          <w:color w:val="auto"/>
        </w:rPr>
        <w:t>六、生态环境保护措施监督检查清单</w:t>
      </w:r>
    </w:p>
    <w:tbl>
      <w:tblPr>
        <w:tblStyle w:val="1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455"/>
        <w:gridCol w:w="1230"/>
        <w:gridCol w:w="1262"/>
        <w:gridCol w:w="842"/>
      </w:tblGrid>
      <w:tr w14:paraId="34655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pct"/>
            <w:vMerge w:val="restart"/>
            <w:tcBorders>
              <w:tl2br w:val="single" w:color="auto" w:sz="4" w:space="0"/>
            </w:tcBorders>
            <w:vAlign w:val="center"/>
          </w:tcPr>
          <w:p w14:paraId="3FAE704D">
            <w:pPr>
              <w:jc w:val="right"/>
              <w:rPr>
                <w:rFonts w:hint="default" w:ascii="Times New Roman" w:hAnsi="Times New Roman" w:cs="Times New Roman"/>
                <w:color w:val="auto"/>
              </w:rPr>
            </w:pPr>
            <w:r>
              <w:rPr>
                <w:rFonts w:hint="default" w:ascii="Times New Roman" w:hAnsi="Times New Roman" w:cs="Times New Roman"/>
                <w:color w:val="auto"/>
              </w:rPr>
              <w:t>内容</w:t>
            </w:r>
          </w:p>
          <w:p w14:paraId="48AB0E4C">
            <w:pPr>
              <w:rPr>
                <w:rFonts w:hint="default" w:ascii="Times New Roman" w:hAnsi="Times New Roman" w:cs="Times New Roman"/>
                <w:color w:val="auto"/>
              </w:rPr>
            </w:pPr>
          </w:p>
          <w:p w14:paraId="2686C651">
            <w:pPr>
              <w:jc w:val="left"/>
              <w:rPr>
                <w:rFonts w:hint="default" w:ascii="Times New Roman" w:hAnsi="Times New Roman" w:cs="Times New Roman"/>
                <w:color w:val="auto"/>
              </w:rPr>
            </w:pPr>
            <w:r>
              <w:rPr>
                <w:rFonts w:hint="default" w:ascii="Times New Roman" w:hAnsi="Times New Roman" w:cs="Times New Roman"/>
                <w:color w:val="auto"/>
              </w:rPr>
              <w:t>要素</w:t>
            </w:r>
          </w:p>
        </w:tc>
        <w:tc>
          <w:tcPr>
            <w:tcW w:w="3147" w:type="pct"/>
            <w:gridSpan w:val="2"/>
            <w:vAlign w:val="center"/>
          </w:tcPr>
          <w:p w14:paraId="75DCAA95">
            <w:pPr>
              <w:rPr>
                <w:rFonts w:hint="default" w:ascii="Times New Roman" w:hAnsi="Times New Roman" w:cs="Times New Roman"/>
                <w:color w:val="auto"/>
              </w:rPr>
            </w:pPr>
            <w:r>
              <w:rPr>
                <w:rFonts w:hint="default" w:ascii="Times New Roman" w:hAnsi="Times New Roman" w:cs="Times New Roman"/>
                <w:color w:val="auto"/>
              </w:rPr>
              <w:t>施工期</w:t>
            </w:r>
          </w:p>
        </w:tc>
        <w:tc>
          <w:tcPr>
            <w:tcW w:w="1164" w:type="pct"/>
            <w:gridSpan w:val="2"/>
            <w:vAlign w:val="center"/>
          </w:tcPr>
          <w:p w14:paraId="7FCD2ED5">
            <w:pPr>
              <w:rPr>
                <w:rFonts w:hint="default" w:ascii="Times New Roman" w:hAnsi="Times New Roman" w:cs="Times New Roman"/>
                <w:color w:val="auto"/>
              </w:rPr>
            </w:pPr>
            <w:r>
              <w:rPr>
                <w:rFonts w:hint="default" w:ascii="Times New Roman" w:hAnsi="Times New Roman" w:cs="Times New Roman"/>
                <w:color w:val="auto"/>
              </w:rPr>
              <w:t>运营期</w:t>
            </w:r>
          </w:p>
        </w:tc>
      </w:tr>
      <w:tr w14:paraId="4D1776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pct"/>
            <w:vMerge w:val="continue"/>
          </w:tcPr>
          <w:p w14:paraId="6A603019">
            <w:pPr>
              <w:rPr>
                <w:rFonts w:hint="default" w:ascii="Times New Roman" w:hAnsi="Times New Roman" w:cs="Times New Roman"/>
                <w:color w:val="auto"/>
              </w:rPr>
            </w:pPr>
          </w:p>
        </w:tc>
        <w:tc>
          <w:tcPr>
            <w:tcW w:w="2466" w:type="pct"/>
            <w:vAlign w:val="center"/>
          </w:tcPr>
          <w:p w14:paraId="2C94CEDE">
            <w:pPr>
              <w:rPr>
                <w:rFonts w:hint="default" w:ascii="Times New Roman" w:hAnsi="Times New Roman" w:cs="Times New Roman"/>
                <w:color w:val="auto"/>
              </w:rPr>
            </w:pPr>
            <w:r>
              <w:rPr>
                <w:rFonts w:hint="default" w:ascii="Times New Roman" w:hAnsi="Times New Roman" w:cs="Times New Roman"/>
                <w:color w:val="auto"/>
              </w:rPr>
              <w:t>环境保护措施</w:t>
            </w:r>
          </w:p>
        </w:tc>
        <w:tc>
          <w:tcPr>
            <w:tcW w:w="680" w:type="pct"/>
            <w:vAlign w:val="center"/>
          </w:tcPr>
          <w:p w14:paraId="023AE6B6">
            <w:pPr>
              <w:rPr>
                <w:rFonts w:hint="default" w:ascii="Times New Roman" w:hAnsi="Times New Roman" w:cs="Times New Roman"/>
                <w:color w:val="auto"/>
              </w:rPr>
            </w:pPr>
            <w:r>
              <w:rPr>
                <w:rFonts w:hint="default" w:ascii="Times New Roman" w:hAnsi="Times New Roman" w:cs="Times New Roman"/>
                <w:color w:val="auto"/>
              </w:rPr>
              <w:t>验收要求</w:t>
            </w:r>
          </w:p>
        </w:tc>
        <w:tc>
          <w:tcPr>
            <w:tcW w:w="698" w:type="pct"/>
            <w:vAlign w:val="center"/>
          </w:tcPr>
          <w:p w14:paraId="19C53BAB">
            <w:pPr>
              <w:rPr>
                <w:rFonts w:hint="default" w:ascii="Times New Roman" w:hAnsi="Times New Roman" w:cs="Times New Roman"/>
                <w:color w:val="auto"/>
              </w:rPr>
            </w:pPr>
            <w:r>
              <w:rPr>
                <w:rFonts w:hint="default" w:ascii="Times New Roman" w:hAnsi="Times New Roman" w:cs="Times New Roman"/>
                <w:color w:val="auto"/>
              </w:rPr>
              <w:t>环境保护措施</w:t>
            </w:r>
          </w:p>
        </w:tc>
        <w:tc>
          <w:tcPr>
            <w:tcW w:w="466" w:type="pct"/>
            <w:vAlign w:val="center"/>
          </w:tcPr>
          <w:p w14:paraId="61F7DF49">
            <w:pPr>
              <w:rPr>
                <w:rFonts w:hint="default" w:ascii="Times New Roman" w:hAnsi="Times New Roman" w:cs="Times New Roman"/>
                <w:color w:val="auto"/>
              </w:rPr>
            </w:pPr>
            <w:r>
              <w:rPr>
                <w:rFonts w:hint="default" w:ascii="Times New Roman" w:hAnsi="Times New Roman" w:cs="Times New Roman"/>
                <w:color w:val="auto"/>
              </w:rPr>
              <w:t>验收要求</w:t>
            </w:r>
          </w:p>
        </w:tc>
      </w:tr>
      <w:tr w14:paraId="54376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14:paraId="7D6D6F67">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陆生生态</w:t>
            </w:r>
          </w:p>
        </w:tc>
        <w:tc>
          <w:tcPr>
            <w:tcW w:w="2466" w:type="pct"/>
            <w:vAlign w:val="center"/>
          </w:tcPr>
          <w:p w14:paraId="07388E2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①加强施工管理，应严格限制施工人员及施工机械的活动范围。要求划定施工作业带，严禁在施工作业带外进行越线施工、土方堆放等，避免新增占地，避免对施工作业带范围外的植被造成破坏。</w:t>
            </w:r>
          </w:p>
          <w:p w14:paraId="14E7F162">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②临时占地应进行表土剥离，施工结束后应及时对临时占地进行场地恢复，以改善景观、减缓水土流失，降低工程建设对原生植被破坏产生的影响。</w:t>
            </w:r>
          </w:p>
          <w:p w14:paraId="331CB309">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③合理安排施工作业时间，尽量避开野生动物集中觅食活动时间（7:00-8:00、17:00-18:00）。</w:t>
            </w:r>
          </w:p>
          <w:p w14:paraId="69174BD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④按施工方案规范操作，注意观测，防止施工作业误伤野生动物。加强施工人员管理，严禁施工人员猎杀、捕食野生动物。</w:t>
            </w:r>
          </w:p>
        </w:tc>
        <w:tc>
          <w:tcPr>
            <w:tcW w:w="680" w:type="pct"/>
            <w:vAlign w:val="center"/>
          </w:tcPr>
          <w:p w14:paraId="0C7FE3E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临时占地生态环境恢复。</w:t>
            </w:r>
          </w:p>
        </w:tc>
        <w:tc>
          <w:tcPr>
            <w:tcW w:w="698" w:type="pct"/>
            <w:vAlign w:val="center"/>
          </w:tcPr>
          <w:p w14:paraId="48F1CE27">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制定管理规章制度，加强汛期管理。</w:t>
            </w:r>
          </w:p>
        </w:tc>
        <w:tc>
          <w:tcPr>
            <w:tcW w:w="466" w:type="pct"/>
            <w:vAlign w:val="center"/>
          </w:tcPr>
          <w:p w14:paraId="019B9829">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0524B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14:paraId="501AC3CD">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水生生态</w:t>
            </w:r>
          </w:p>
        </w:tc>
        <w:tc>
          <w:tcPr>
            <w:tcW w:w="4455" w:type="dxa"/>
            <w:vAlign w:val="center"/>
          </w:tcPr>
          <w:p w14:paraId="34E10DEF">
            <w:pPr>
              <w:adjustRightInd w:val="0"/>
              <w:snapToGrid w:val="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禁止在河道内存放油料、水泥等建材和进行施工机械维修，以免油料堆放场地和维修废水等污染物质进入水体，影响水质</w:t>
            </w:r>
            <w:r>
              <w:rPr>
                <w:rFonts w:hint="default" w:ascii="Times New Roman" w:hAnsi="Times New Roman" w:cs="Times New Roman"/>
                <w:color w:val="auto"/>
                <w:szCs w:val="21"/>
                <w:lang w:eastAsia="zh-CN"/>
              </w:rPr>
              <w:t>。</w:t>
            </w:r>
          </w:p>
        </w:tc>
        <w:tc>
          <w:tcPr>
            <w:tcW w:w="1230" w:type="dxa"/>
            <w:vAlign w:val="center"/>
          </w:tcPr>
          <w:p w14:paraId="61DC013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落实各项环保措施，以减轻对水生生态的破坏程度，施工期应采集和留存落实各环保措施的照片、影像资料等</w:t>
            </w:r>
          </w:p>
        </w:tc>
        <w:tc>
          <w:tcPr>
            <w:tcW w:w="698" w:type="pct"/>
            <w:vAlign w:val="center"/>
          </w:tcPr>
          <w:p w14:paraId="715D9BB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439DD653">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32E67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687" w:type="pct"/>
            <w:vAlign w:val="center"/>
          </w:tcPr>
          <w:p w14:paraId="56D86ADA">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地表水环境</w:t>
            </w:r>
          </w:p>
        </w:tc>
        <w:tc>
          <w:tcPr>
            <w:tcW w:w="4455" w:type="dxa"/>
            <w:vAlign w:val="center"/>
          </w:tcPr>
          <w:p w14:paraId="6519AA42">
            <w:pPr>
              <w:adjustRightInd w:val="0"/>
              <w:snapToGrid w:val="0"/>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rPr>
              <w:t>车辆冲洗废水</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施工废水</w:t>
            </w:r>
            <w:r>
              <w:rPr>
                <w:rFonts w:hint="default" w:ascii="Times New Roman" w:hAnsi="Times New Roman" w:cs="Times New Roman"/>
                <w:color w:val="auto"/>
                <w:szCs w:val="21"/>
              </w:rPr>
              <w:t>设置临时沉淀池，沉淀后回用于施工工序或施工现场洒水降尘；施工人员生活污水</w:t>
            </w:r>
            <w:r>
              <w:rPr>
                <w:rFonts w:hint="default" w:ascii="Times New Roman" w:hAnsi="Times New Roman" w:cs="Times New Roman"/>
                <w:color w:val="auto"/>
                <w:szCs w:val="21"/>
                <w:lang w:val="en-US" w:eastAsia="zh-CN"/>
              </w:rPr>
              <w:t>经化粪池处理后定期清掏外运肥田。</w:t>
            </w:r>
          </w:p>
        </w:tc>
        <w:tc>
          <w:tcPr>
            <w:tcW w:w="1230" w:type="dxa"/>
            <w:vAlign w:val="center"/>
          </w:tcPr>
          <w:p w14:paraId="7070377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落实各项环保措施，废水不外排；施工期应采集和留存落实各环保措施的照片、影像资料等</w:t>
            </w:r>
          </w:p>
        </w:tc>
        <w:tc>
          <w:tcPr>
            <w:tcW w:w="698" w:type="pct"/>
            <w:vAlign w:val="center"/>
          </w:tcPr>
          <w:p w14:paraId="6263360B">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427397B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1E0ED8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7" w:type="pct"/>
            <w:vAlign w:val="center"/>
          </w:tcPr>
          <w:p w14:paraId="13DBFAA4">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地下水及土壤环境</w:t>
            </w:r>
          </w:p>
        </w:tc>
        <w:tc>
          <w:tcPr>
            <w:tcW w:w="2466" w:type="pct"/>
            <w:vAlign w:val="center"/>
          </w:tcPr>
          <w:p w14:paraId="26BF5A64">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2D1D579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525899EF">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444EE45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432B6D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14:paraId="01B8D73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声环境</w:t>
            </w:r>
          </w:p>
        </w:tc>
        <w:tc>
          <w:tcPr>
            <w:tcW w:w="2466" w:type="pct"/>
            <w:vAlign w:val="center"/>
          </w:tcPr>
          <w:p w14:paraId="498AE71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①从源头上降低噪声源强。选用低噪声施工机械和工艺，加强施工机械修理和维护，保持设备良好运转状态，降低设备运行噪声，杜绝施工机械因故障产生较大噪声；</w:t>
            </w:r>
          </w:p>
          <w:p w14:paraId="636A91F1">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②合理安排施工时间，在夜间（22:00</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rPr>
              <w:t>次日6:00）不得施工；</w:t>
            </w:r>
          </w:p>
          <w:p w14:paraId="72EA5ED9">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③倡导文明施工，建立控制人为噪声的管理制度，杜绝人为敲打、野蛮装卸等现象，最大限度减少噪声扰民；</w:t>
            </w:r>
          </w:p>
          <w:p w14:paraId="48B9551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④选用符合国家相关标准的施工车辆，禁止不符合国家噪声排放标准的运输车辆进入施工区，减少夜间运输量，靠近居民区时限速并禁止鸣笛，对施工和运输车辆定期进行维护和养护，加强施工期交通管理，保持道路畅通</w:t>
            </w:r>
          </w:p>
        </w:tc>
        <w:tc>
          <w:tcPr>
            <w:tcW w:w="680" w:type="pct"/>
            <w:vAlign w:val="center"/>
          </w:tcPr>
          <w:p w14:paraId="03EDA329">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满足《建筑施工场界环境噪声排放标准》（GB12523-2011）。</w:t>
            </w:r>
          </w:p>
        </w:tc>
        <w:tc>
          <w:tcPr>
            <w:tcW w:w="698" w:type="pct"/>
            <w:vAlign w:val="center"/>
          </w:tcPr>
          <w:p w14:paraId="335190A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04A7625D">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5850B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87" w:type="pct"/>
            <w:vAlign w:val="center"/>
          </w:tcPr>
          <w:p w14:paraId="0B2A4B4B">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振动</w:t>
            </w:r>
          </w:p>
        </w:tc>
        <w:tc>
          <w:tcPr>
            <w:tcW w:w="2466" w:type="pct"/>
            <w:vAlign w:val="center"/>
          </w:tcPr>
          <w:p w14:paraId="6664448A">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0D7F90E2">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46AD2A7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58F90C4F">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00200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 w:type="pct"/>
            <w:vAlign w:val="center"/>
          </w:tcPr>
          <w:p w14:paraId="3632B412">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大气环境</w:t>
            </w:r>
          </w:p>
        </w:tc>
        <w:tc>
          <w:tcPr>
            <w:tcW w:w="2466" w:type="pct"/>
            <w:vAlign w:val="center"/>
          </w:tcPr>
          <w:p w14:paraId="75AE52FE">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①采用围挡施工，施工现场出入口及场内主要道路硬化，其余场地绿化；</w:t>
            </w:r>
          </w:p>
          <w:p w14:paraId="49BFDCD9">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②堆放的土方及易产生粉尘类建筑材料必须覆盖，常洒水；</w:t>
            </w:r>
          </w:p>
          <w:p w14:paraId="1F17A942">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③施工现场运送车辆要用挡板和</w:t>
            </w:r>
            <w:r>
              <w:rPr>
                <w:rFonts w:hint="default" w:ascii="Times New Roman" w:hAnsi="Times New Roman" w:cs="Times New Roman"/>
                <w:color w:val="auto"/>
                <w:szCs w:val="21"/>
                <w:lang w:eastAsia="zh-CN"/>
              </w:rPr>
              <w:t>篷布</w:t>
            </w:r>
            <w:r>
              <w:rPr>
                <w:rFonts w:hint="default" w:ascii="Times New Roman" w:hAnsi="Times New Roman" w:cs="Times New Roman"/>
                <w:color w:val="auto"/>
                <w:szCs w:val="21"/>
              </w:rPr>
              <w:t>封闭或遮盖，限速行驶，车辆不应装载过满，保持车辆清洁；</w:t>
            </w:r>
          </w:p>
          <w:p w14:paraId="3E0AC3CD">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④施工现场出入口必须配备车辆冲洗设施，严禁车辆带泥出场。</w:t>
            </w:r>
          </w:p>
          <w:p w14:paraId="526E5D3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⑤施工机械和车辆定期保养检查维修，对尾气排放做定期检查，尽量采用环保清洁燃料。</w:t>
            </w:r>
          </w:p>
        </w:tc>
        <w:tc>
          <w:tcPr>
            <w:tcW w:w="680" w:type="pct"/>
            <w:vAlign w:val="center"/>
          </w:tcPr>
          <w:p w14:paraId="707CF83B">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施工扬尘满足陕西省地方标准《施工场界扬尘排放限值》（DB61/1078-2017）中相关标准。</w:t>
            </w:r>
          </w:p>
        </w:tc>
        <w:tc>
          <w:tcPr>
            <w:tcW w:w="698" w:type="pct"/>
            <w:vAlign w:val="center"/>
          </w:tcPr>
          <w:p w14:paraId="07BDC5D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77A0FD61">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01809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87" w:type="pct"/>
            <w:vAlign w:val="center"/>
          </w:tcPr>
          <w:p w14:paraId="75BA06C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固体废物</w:t>
            </w:r>
          </w:p>
        </w:tc>
        <w:tc>
          <w:tcPr>
            <w:tcW w:w="2466" w:type="pct"/>
            <w:vAlign w:val="center"/>
          </w:tcPr>
          <w:p w14:paraId="142037F3">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①建筑垃圾运往建筑垃圾填埋场处置；</w:t>
            </w:r>
          </w:p>
          <w:p w14:paraId="2853867F">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②施工期在每个施工点设置垃圾桶收集后，定期清运到附近垃圾填埋场处置。</w:t>
            </w:r>
          </w:p>
        </w:tc>
        <w:tc>
          <w:tcPr>
            <w:tcW w:w="680" w:type="pct"/>
            <w:vAlign w:val="center"/>
          </w:tcPr>
          <w:p w14:paraId="1BCABB54">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全部合理处置，对周围环境影响较小。</w:t>
            </w:r>
          </w:p>
        </w:tc>
        <w:tc>
          <w:tcPr>
            <w:tcW w:w="698" w:type="pct"/>
            <w:vAlign w:val="center"/>
          </w:tcPr>
          <w:p w14:paraId="1C787FE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6A084022">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3A9CF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87" w:type="pct"/>
            <w:vAlign w:val="center"/>
          </w:tcPr>
          <w:p w14:paraId="19DB2D5C">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电磁环境</w:t>
            </w:r>
          </w:p>
        </w:tc>
        <w:tc>
          <w:tcPr>
            <w:tcW w:w="2466" w:type="pct"/>
            <w:vAlign w:val="center"/>
          </w:tcPr>
          <w:p w14:paraId="2D9F81ED">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19143DA8">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4E99F09A">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586FADC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35057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87" w:type="pct"/>
            <w:vAlign w:val="center"/>
          </w:tcPr>
          <w:p w14:paraId="12A907A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环境风险</w:t>
            </w:r>
          </w:p>
        </w:tc>
        <w:tc>
          <w:tcPr>
            <w:tcW w:w="2466" w:type="pct"/>
            <w:vAlign w:val="center"/>
          </w:tcPr>
          <w:p w14:paraId="447E1116">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7E5CA377">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399CA691">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1B71CB5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430A1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87" w:type="pct"/>
            <w:vAlign w:val="center"/>
          </w:tcPr>
          <w:p w14:paraId="7B1451D4">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环境监测</w:t>
            </w:r>
          </w:p>
        </w:tc>
        <w:tc>
          <w:tcPr>
            <w:tcW w:w="2466" w:type="pct"/>
            <w:vAlign w:val="center"/>
          </w:tcPr>
          <w:p w14:paraId="0278F1BF">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7D0EBB6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06436DF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6FDA1F47">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r w14:paraId="0912D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87" w:type="pct"/>
            <w:vAlign w:val="center"/>
          </w:tcPr>
          <w:p w14:paraId="3EEF19B3">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其他</w:t>
            </w:r>
          </w:p>
        </w:tc>
        <w:tc>
          <w:tcPr>
            <w:tcW w:w="2466" w:type="pct"/>
            <w:vAlign w:val="center"/>
          </w:tcPr>
          <w:p w14:paraId="5B066E5F">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80" w:type="pct"/>
            <w:vAlign w:val="center"/>
          </w:tcPr>
          <w:p w14:paraId="184931B1">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698" w:type="pct"/>
            <w:vAlign w:val="center"/>
          </w:tcPr>
          <w:p w14:paraId="04A44D15">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c>
          <w:tcPr>
            <w:tcW w:w="466" w:type="pct"/>
            <w:vAlign w:val="center"/>
          </w:tcPr>
          <w:p w14:paraId="773C0930">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w:t>
            </w:r>
          </w:p>
        </w:tc>
      </w:tr>
    </w:tbl>
    <w:p w14:paraId="169A31D2">
      <w:pPr>
        <w:adjustRightInd w:val="0"/>
        <w:snapToGrid w:val="0"/>
        <w:rPr>
          <w:rFonts w:hint="eastAsia" w:ascii="宋体" w:hAnsi="宋体" w:cs="宋体"/>
          <w:color w:val="auto"/>
          <w:szCs w:val="21"/>
        </w:rPr>
        <w:sectPr>
          <w:pgSz w:w="11906" w:h="16838"/>
          <w:pgMar w:top="1440" w:right="1559" w:bottom="1440" w:left="1531" w:header="851" w:footer="992" w:gutter="0"/>
          <w:cols w:space="425" w:num="1"/>
          <w:docGrid w:type="lines" w:linePitch="326" w:charSpace="0"/>
        </w:sectPr>
      </w:pPr>
    </w:p>
    <w:p w14:paraId="6B0F35E1">
      <w:pPr>
        <w:pStyle w:val="29"/>
        <w:rPr>
          <w:snapToGrid w:val="0"/>
          <w:color w:val="auto"/>
        </w:rPr>
      </w:pPr>
      <w:r>
        <w:rPr>
          <w:rFonts w:hint="eastAsia"/>
          <w:snapToGrid w:val="0"/>
          <w:color w:val="auto"/>
        </w:rPr>
        <w:t>七、结论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2"/>
      </w:tblGrid>
      <w:tr w14:paraId="51C4A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0" w:hRule="atLeast"/>
        </w:trPr>
        <w:tc>
          <w:tcPr>
            <w:tcW w:w="9032" w:type="dxa"/>
          </w:tcPr>
          <w:p w14:paraId="63CC360A">
            <w:pPr>
              <w:pStyle w:val="37"/>
              <w:ind w:firstLine="480"/>
              <w:rPr>
                <w:rFonts w:hint="eastAsia"/>
                <w:color w:val="auto"/>
              </w:rPr>
            </w:pPr>
            <w:r>
              <w:rPr>
                <w:rFonts w:hint="eastAsia"/>
                <w:color w:val="auto"/>
              </w:rPr>
              <w:t>本项目建设符合国家及地方产业政策，建设单位在严格落实本次环境影响评价提出的环保措施，履行环保“三同时”手续，加强施工管理，严格落实污染控制防治措施的情况下，项目实施不会对当地环境质量及生态环境产生明显不利影响。从环境保护角度，建设项目环境影响可行。</w:t>
            </w:r>
          </w:p>
        </w:tc>
      </w:tr>
    </w:tbl>
    <w:p w14:paraId="607811ED">
      <w:pPr>
        <w:rPr>
          <w:color w:val="auto"/>
        </w:rPr>
      </w:pPr>
      <w:r>
        <w:rPr>
          <w:color w:val="auto"/>
        </w:rPr>
        <w:br w:type="page"/>
      </w:r>
    </w:p>
    <w:p w14:paraId="235E61DC">
      <w:pPr>
        <w:pStyle w:val="2"/>
      </w:pPr>
    </w:p>
    <w:sectPr>
      <w:pgSz w:w="11906" w:h="16838"/>
      <w:pgMar w:top="1440" w:right="1559" w:bottom="1440" w:left="153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6381468"/>
      <w:docPartObj>
        <w:docPartGallery w:val="autotext"/>
      </w:docPartObj>
    </w:sdtPr>
    <w:sdtEndPr>
      <w:rPr>
        <w:sz w:val="24"/>
        <w:szCs w:val="24"/>
      </w:rPr>
    </w:sdtEndPr>
    <w:sdtContent>
      <w:p w14:paraId="5F0E4D28">
        <w:pPr>
          <w:pStyle w:val="11"/>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3A3A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32901"/>
    <w:multiLevelType w:val="singleLevel"/>
    <w:tmpl w:val="C1932901"/>
    <w:lvl w:ilvl="0" w:tentative="0">
      <w:start w:val="2"/>
      <w:numFmt w:val="decimal"/>
      <w:suff w:val="nothing"/>
      <w:lvlText w:val="%1、"/>
      <w:lvlJc w:val="left"/>
    </w:lvl>
  </w:abstractNum>
  <w:abstractNum w:abstractNumId="1">
    <w:nsid w:val="C9B2F468"/>
    <w:multiLevelType w:val="singleLevel"/>
    <w:tmpl w:val="C9B2F468"/>
    <w:lvl w:ilvl="0" w:tentative="0">
      <w:start w:val="1"/>
      <w:numFmt w:val="decimal"/>
      <w:lvlText w:val="%1."/>
      <w:lvlJc w:val="left"/>
      <w:pPr>
        <w:tabs>
          <w:tab w:val="left" w:pos="312"/>
        </w:tabs>
      </w:pPr>
    </w:lvl>
  </w:abstractNum>
  <w:abstractNum w:abstractNumId="2">
    <w:nsid w:val="07823637"/>
    <w:multiLevelType w:val="singleLevel"/>
    <w:tmpl w:val="07823637"/>
    <w:lvl w:ilvl="0" w:tentative="0">
      <w:start w:val="1"/>
      <w:numFmt w:val="decimal"/>
      <w:suff w:val="nothing"/>
      <w:lvlText w:val="%1）"/>
      <w:lvlJc w:val="left"/>
    </w:lvl>
  </w:abstractNum>
  <w:abstractNum w:abstractNumId="3">
    <w:nsid w:val="140D5B53"/>
    <w:multiLevelType w:val="multilevel"/>
    <w:tmpl w:val="140D5B53"/>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3D73C8D0"/>
    <w:multiLevelType w:val="singleLevel"/>
    <w:tmpl w:val="3D73C8D0"/>
    <w:lvl w:ilvl="0" w:tentative="0">
      <w:start w:val="1"/>
      <w:numFmt w:val="decimal"/>
      <w:suff w:val="nothing"/>
      <w:lvlText w:val="%1）"/>
      <w:lvlJc w:val="left"/>
    </w:lvl>
  </w:abstractNum>
  <w:abstractNum w:abstractNumId="5">
    <w:nsid w:val="48A94D19"/>
    <w:multiLevelType w:val="multilevel"/>
    <w:tmpl w:val="48A94D19"/>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5"/>
    <w:lvlOverride w:ilvl="0">
      <w:lvl w:ilvl="0" w:tentative="1">
        <w:start w:val="1"/>
        <w:numFmt w:val="decimal"/>
        <w:lvlText w:val="%1"/>
        <w:lvlJc w:val="left"/>
        <w:pPr>
          <w:ind w:left="0" w:firstLine="0"/>
        </w:pPr>
        <w:rPr>
          <w:rFonts w:hint="eastAsia"/>
        </w:rPr>
      </w:lvl>
    </w:lvlOverride>
    <w:lvlOverride w:ilvl="1">
      <w:lvl w:ilvl="1" w:tentative="1">
        <w:start w:val="1"/>
        <w:numFmt w:val="decimal"/>
        <w:pStyle w:val="3"/>
        <w:lvlText w:val="%1.%2"/>
        <w:lvlJc w:val="left"/>
        <w:pPr>
          <w:ind w:left="0" w:firstLine="0"/>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pStyle w:val="4"/>
        <w:lvlText w:val="%1.%2.%3.%4"/>
        <w:lvlJc w:val="left"/>
        <w:pPr>
          <w:ind w:left="0" w:firstLine="0"/>
        </w:pPr>
        <w:rPr>
          <w:rFonts w:hint="eastAsia"/>
        </w:rPr>
      </w:lvl>
    </w:lvlOverride>
    <w:lvlOverride w:ilvl="4">
      <w:lvl w:ilvl="4" w:tentative="1">
        <w:start w:val="1"/>
        <w:numFmt w:val="decimal"/>
        <w:lvlText w:val="%1.%2.%3.%4.%5"/>
        <w:lvlJc w:val="left"/>
        <w:pPr>
          <w:ind w:left="0" w:firstLine="0"/>
        </w:pPr>
        <w:rPr>
          <w:rFonts w:hint="eastAsia"/>
        </w:rPr>
      </w:lvl>
    </w:lvlOverride>
    <w:lvlOverride w:ilvl="5">
      <w:lvl w:ilvl="5" w:tentative="1">
        <w:start w:val="1"/>
        <w:numFmt w:val="decimal"/>
        <w:lvlText w:val="%1.%2.%3.%4.%5.%6"/>
        <w:lvlJc w:val="left"/>
        <w:pPr>
          <w:ind w:left="0" w:firstLine="0"/>
        </w:pPr>
        <w:rPr>
          <w:rFonts w:hint="eastAsia"/>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lYTk2YjRiY2I4NWE3ODg3OWEzOWE3ZDMwYWVhZGEifQ=="/>
  </w:docVars>
  <w:rsids>
    <w:rsidRoot w:val="00172A27"/>
    <w:rsid w:val="00000339"/>
    <w:rsid w:val="00001879"/>
    <w:rsid w:val="0000206C"/>
    <w:rsid w:val="00003783"/>
    <w:rsid w:val="00003AE1"/>
    <w:rsid w:val="00004057"/>
    <w:rsid w:val="00004748"/>
    <w:rsid w:val="00004C66"/>
    <w:rsid w:val="00005222"/>
    <w:rsid w:val="000060C7"/>
    <w:rsid w:val="0000682E"/>
    <w:rsid w:val="000076E1"/>
    <w:rsid w:val="00007C5E"/>
    <w:rsid w:val="00011FF2"/>
    <w:rsid w:val="00012E57"/>
    <w:rsid w:val="000138F7"/>
    <w:rsid w:val="0001409E"/>
    <w:rsid w:val="00015CBE"/>
    <w:rsid w:val="0001666F"/>
    <w:rsid w:val="00016F40"/>
    <w:rsid w:val="00017402"/>
    <w:rsid w:val="00023826"/>
    <w:rsid w:val="00023B0C"/>
    <w:rsid w:val="00023D02"/>
    <w:rsid w:val="00023E1B"/>
    <w:rsid w:val="000244AD"/>
    <w:rsid w:val="0002453B"/>
    <w:rsid w:val="00024CAA"/>
    <w:rsid w:val="00024CB7"/>
    <w:rsid w:val="0002532F"/>
    <w:rsid w:val="00025A19"/>
    <w:rsid w:val="00025F65"/>
    <w:rsid w:val="000265EC"/>
    <w:rsid w:val="000279BC"/>
    <w:rsid w:val="00027EA8"/>
    <w:rsid w:val="00027EE0"/>
    <w:rsid w:val="000300CF"/>
    <w:rsid w:val="00030510"/>
    <w:rsid w:val="00031348"/>
    <w:rsid w:val="00031A12"/>
    <w:rsid w:val="0003205F"/>
    <w:rsid w:val="0003493E"/>
    <w:rsid w:val="000349EE"/>
    <w:rsid w:val="0004056C"/>
    <w:rsid w:val="00040F6B"/>
    <w:rsid w:val="00041395"/>
    <w:rsid w:val="00043BDA"/>
    <w:rsid w:val="00044023"/>
    <w:rsid w:val="000447C0"/>
    <w:rsid w:val="000455DA"/>
    <w:rsid w:val="00045A8C"/>
    <w:rsid w:val="00045E05"/>
    <w:rsid w:val="000463B6"/>
    <w:rsid w:val="00046D26"/>
    <w:rsid w:val="0005011C"/>
    <w:rsid w:val="00050CF6"/>
    <w:rsid w:val="00051309"/>
    <w:rsid w:val="00054974"/>
    <w:rsid w:val="00054ACE"/>
    <w:rsid w:val="0005514B"/>
    <w:rsid w:val="000561E8"/>
    <w:rsid w:val="000565FF"/>
    <w:rsid w:val="0005680C"/>
    <w:rsid w:val="00057AE8"/>
    <w:rsid w:val="00062CBA"/>
    <w:rsid w:val="00063342"/>
    <w:rsid w:val="0006382C"/>
    <w:rsid w:val="00064400"/>
    <w:rsid w:val="0006447D"/>
    <w:rsid w:val="00064744"/>
    <w:rsid w:val="00065004"/>
    <w:rsid w:val="00065A37"/>
    <w:rsid w:val="0006729E"/>
    <w:rsid w:val="00070EE4"/>
    <w:rsid w:val="000718F0"/>
    <w:rsid w:val="00072327"/>
    <w:rsid w:val="000727EF"/>
    <w:rsid w:val="00073821"/>
    <w:rsid w:val="00073CBC"/>
    <w:rsid w:val="00074920"/>
    <w:rsid w:val="0007542A"/>
    <w:rsid w:val="00075BA6"/>
    <w:rsid w:val="0007661A"/>
    <w:rsid w:val="00076F8F"/>
    <w:rsid w:val="00077113"/>
    <w:rsid w:val="0007729C"/>
    <w:rsid w:val="00077C3B"/>
    <w:rsid w:val="00077E6F"/>
    <w:rsid w:val="000812ED"/>
    <w:rsid w:val="0008192D"/>
    <w:rsid w:val="00081A2D"/>
    <w:rsid w:val="00082512"/>
    <w:rsid w:val="00083B5B"/>
    <w:rsid w:val="00083E4B"/>
    <w:rsid w:val="00084651"/>
    <w:rsid w:val="000846F3"/>
    <w:rsid w:val="00086944"/>
    <w:rsid w:val="000876B7"/>
    <w:rsid w:val="000901D7"/>
    <w:rsid w:val="00090C7D"/>
    <w:rsid w:val="00091A41"/>
    <w:rsid w:val="00092DF7"/>
    <w:rsid w:val="00093620"/>
    <w:rsid w:val="00093CF0"/>
    <w:rsid w:val="00097A14"/>
    <w:rsid w:val="000A0D0A"/>
    <w:rsid w:val="000A24EC"/>
    <w:rsid w:val="000A30DE"/>
    <w:rsid w:val="000A37B1"/>
    <w:rsid w:val="000A39FA"/>
    <w:rsid w:val="000A3A22"/>
    <w:rsid w:val="000A4CAD"/>
    <w:rsid w:val="000A5A27"/>
    <w:rsid w:val="000A5B3C"/>
    <w:rsid w:val="000A6D17"/>
    <w:rsid w:val="000A7722"/>
    <w:rsid w:val="000B4149"/>
    <w:rsid w:val="000B4CBE"/>
    <w:rsid w:val="000B535B"/>
    <w:rsid w:val="000B5653"/>
    <w:rsid w:val="000B5A95"/>
    <w:rsid w:val="000B652B"/>
    <w:rsid w:val="000B6A72"/>
    <w:rsid w:val="000B7C7A"/>
    <w:rsid w:val="000C0591"/>
    <w:rsid w:val="000C19A4"/>
    <w:rsid w:val="000C2A97"/>
    <w:rsid w:val="000C2C57"/>
    <w:rsid w:val="000C3491"/>
    <w:rsid w:val="000C36E1"/>
    <w:rsid w:val="000C64C6"/>
    <w:rsid w:val="000C707B"/>
    <w:rsid w:val="000D09AD"/>
    <w:rsid w:val="000D1AFA"/>
    <w:rsid w:val="000D1EBD"/>
    <w:rsid w:val="000D1F81"/>
    <w:rsid w:val="000D2322"/>
    <w:rsid w:val="000D2FE7"/>
    <w:rsid w:val="000D3817"/>
    <w:rsid w:val="000D40EB"/>
    <w:rsid w:val="000D4522"/>
    <w:rsid w:val="000D4932"/>
    <w:rsid w:val="000D75F1"/>
    <w:rsid w:val="000E1873"/>
    <w:rsid w:val="000E1966"/>
    <w:rsid w:val="000E2E59"/>
    <w:rsid w:val="000E40AD"/>
    <w:rsid w:val="000E4941"/>
    <w:rsid w:val="000E5F75"/>
    <w:rsid w:val="000E67DD"/>
    <w:rsid w:val="000E7C9B"/>
    <w:rsid w:val="000F2BD9"/>
    <w:rsid w:val="000F5BDF"/>
    <w:rsid w:val="000F66D9"/>
    <w:rsid w:val="000F7F37"/>
    <w:rsid w:val="001005BB"/>
    <w:rsid w:val="00100F90"/>
    <w:rsid w:val="001016D6"/>
    <w:rsid w:val="00102391"/>
    <w:rsid w:val="0010483F"/>
    <w:rsid w:val="00105206"/>
    <w:rsid w:val="001053DA"/>
    <w:rsid w:val="0010587F"/>
    <w:rsid w:val="00106A5F"/>
    <w:rsid w:val="00110D5F"/>
    <w:rsid w:val="00110FDA"/>
    <w:rsid w:val="001113AA"/>
    <w:rsid w:val="00111CC1"/>
    <w:rsid w:val="0011228E"/>
    <w:rsid w:val="00112494"/>
    <w:rsid w:val="00112496"/>
    <w:rsid w:val="00113A63"/>
    <w:rsid w:val="00113AC2"/>
    <w:rsid w:val="00113B2D"/>
    <w:rsid w:val="00113E36"/>
    <w:rsid w:val="0011629D"/>
    <w:rsid w:val="0011752E"/>
    <w:rsid w:val="00117D7D"/>
    <w:rsid w:val="00120EA9"/>
    <w:rsid w:val="00122298"/>
    <w:rsid w:val="00123A21"/>
    <w:rsid w:val="001247DA"/>
    <w:rsid w:val="0012693F"/>
    <w:rsid w:val="0012752C"/>
    <w:rsid w:val="00130CA1"/>
    <w:rsid w:val="00130CD5"/>
    <w:rsid w:val="00132958"/>
    <w:rsid w:val="00133079"/>
    <w:rsid w:val="00133505"/>
    <w:rsid w:val="00134750"/>
    <w:rsid w:val="00134A97"/>
    <w:rsid w:val="00135A45"/>
    <w:rsid w:val="00135CFD"/>
    <w:rsid w:val="00136A3D"/>
    <w:rsid w:val="00136BD6"/>
    <w:rsid w:val="0014053D"/>
    <w:rsid w:val="00142835"/>
    <w:rsid w:val="001443D9"/>
    <w:rsid w:val="001444BD"/>
    <w:rsid w:val="001446D9"/>
    <w:rsid w:val="00144934"/>
    <w:rsid w:val="00144D97"/>
    <w:rsid w:val="0014526D"/>
    <w:rsid w:val="0014616A"/>
    <w:rsid w:val="00147180"/>
    <w:rsid w:val="00147C58"/>
    <w:rsid w:val="001505E7"/>
    <w:rsid w:val="00150FDA"/>
    <w:rsid w:val="00151BBD"/>
    <w:rsid w:val="00152440"/>
    <w:rsid w:val="00152CDE"/>
    <w:rsid w:val="0015412D"/>
    <w:rsid w:val="001546D4"/>
    <w:rsid w:val="001548C3"/>
    <w:rsid w:val="00156037"/>
    <w:rsid w:val="001620C5"/>
    <w:rsid w:val="0016467D"/>
    <w:rsid w:val="001666F6"/>
    <w:rsid w:val="001719C6"/>
    <w:rsid w:val="00171BFA"/>
    <w:rsid w:val="00171D99"/>
    <w:rsid w:val="00172297"/>
    <w:rsid w:val="00172A37"/>
    <w:rsid w:val="00173A9C"/>
    <w:rsid w:val="001742A2"/>
    <w:rsid w:val="00174822"/>
    <w:rsid w:val="00176141"/>
    <w:rsid w:val="00176879"/>
    <w:rsid w:val="00176DDF"/>
    <w:rsid w:val="00177D62"/>
    <w:rsid w:val="00177FF5"/>
    <w:rsid w:val="00180088"/>
    <w:rsid w:val="00180A97"/>
    <w:rsid w:val="001810DE"/>
    <w:rsid w:val="00181622"/>
    <w:rsid w:val="0018169E"/>
    <w:rsid w:val="001816FB"/>
    <w:rsid w:val="00181A99"/>
    <w:rsid w:val="0018228D"/>
    <w:rsid w:val="00182539"/>
    <w:rsid w:val="00182F33"/>
    <w:rsid w:val="00184125"/>
    <w:rsid w:val="001843AC"/>
    <w:rsid w:val="00184672"/>
    <w:rsid w:val="00185D13"/>
    <w:rsid w:val="00185FE5"/>
    <w:rsid w:val="001874E2"/>
    <w:rsid w:val="001879C5"/>
    <w:rsid w:val="0019056E"/>
    <w:rsid w:val="00190943"/>
    <w:rsid w:val="00190B56"/>
    <w:rsid w:val="00193FA7"/>
    <w:rsid w:val="0019402E"/>
    <w:rsid w:val="00194F6B"/>
    <w:rsid w:val="0019577A"/>
    <w:rsid w:val="001964FD"/>
    <w:rsid w:val="00197285"/>
    <w:rsid w:val="001A277C"/>
    <w:rsid w:val="001A2877"/>
    <w:rsid w:val="001A292A"/>
    <w:rsid w:val="001A34EA"/>
    <w:rsid w:val="001A3C65"/>
    <w:rsid w:val="001A44FA"/>
    <w:rsid w:val="001A4502"/>
    <w:rsid w:val="001A69DD"/>
    <w:rsid w:val="001A7C53"/>
    <w:rsid w:val="001B01E0"/>
    <w:rsid w:val="001B0204"/>
    <w:rsid w:val="001B19F1"/>
    <w:rsid w:val="001B1FF2"/>
    <w:rsid w:val="001B20F7"/>
    <w:rsid w:val="001B3B2F"/>
    <w:rsid w:val="001B48C7"/>
    <w:rsid w:val="001B502E"/>
    <w:rsid w:val="001B67DF"/>
    <w:rsid w:val="001B7E95"/>
    <w:rsid w:val="001C0A00"/>
    <w:rsid w:val="001C29D8"/>
    <w:rsid w:val="001C5692"/>
    <w:rsid w:val="001C669F"/>
    <w:rsid w:val="001C7303"/>
    <w:rsid w:val="001C751F"/>
    <w:rsid w:val="001D0348"/>
    <w:rsid w:val="001D0B02"/>
    <w:rsid w:val="001D110B"/>
    <w:rsid w:val="001D2A29"/>
    <w:rsid w:val="001D563A"/>
    <w:rsid w:val="001D573B"/>
    <w:rsid w:val="001D67AF"/>
    <w:rsid w:val="001D67B2"/>
    <w:rsid w:val="001D689D"/>
    <w:rsid w:val="001E018A"/>
    <w:rsid w:val="001E0399"/>
    <w:rsid w:val="001E142D"/>
    <w:rsid w:val="001E1620"/>
    <w:rsid w:val="001E238A"/>
    <w:rsid w:val="001E3386"/>
    <w:rsid w:val="001E365A"/>
    <w:rsid w:val="001E36E0"/>
    <w:rsid w:val="001E56BB"/>
    <w:rsid w:val="001E5C5C"/>
    <w:rsid w:val="001E626F"/>
    <w:rsid w:val="001E6493"/>
    <w:rsid w:val="001F020D"/>
    <w:rsid w:val="001F10E8"/>
    <w:rsid w:val="001F1394"/>
    <w:rsid w:val="001F1463"/>
    <w:rsid w:val="001F1638"/>
    <w:rsid w:val="001F3C1F"/>
    <w:rsid w:val="001F3DDC"/>
    <w:rsid w:val="001F4666"/>
    <w:rsid w:val="001F4D25"/>
    <w:rsid w:val="001F51EB"/>
    <w:rsid w:val="001F55F3"/>
    <w:rsid w:val="001F5760"/>
    <w:rsid w:val="001F5BE5"/>
    <w:rsid w:val="001F60AC"/>
    <w:rsid w:val="001F650D"/>
    <w:rsid w:val="001F6B7C"/>
    <w:rsid w:val="002019A4"/>
    <w:rsid w:val="00201E08"/>
    <w:rsid w:val="00201FE7"/>
    <w:rsid w:val="00202085"/>
    <w:rsid w:val="00204571"/>
    <w:rsid w:val="002045A8"/>
    <w:rsid w:val="00205610"/>
    <w:rsid w:val="00207A38"/>
    <w:rsid w:val="00207B5E"/>
    <w:rsid w:val="00211E17"/>
    <w:rsid w:val="00211E41"/>
    <w:rsid w:val="002120DE"/>
    <w:rsid w:val="00213EB7"/>
    <w:rsid w:val="002152E4"/>
    <w:rsid w:val="002166B1"/>
    <w:rsid w:val="002167C6"/>
    <w:rsid w:val="00217919"/>
    <w:rsid w:val="00217AD8"/>
    <w:rsid w:val="00220F7B"/>
    <w:rsid w:val="0022324D"/>
    <w:rsid w:val="00223462"/>
    <w:rsid w:val="00223650"/>
    <w:rsid w:val="00223BE3"/>
    <w:rsid w:val="0022435B"/>
    <w:rsid w:val="002248BA"/>
    <w:rsid w:val="00224FA2"/>
    <w:rsid w:val="002261C1"/>
    <w:rsid w:val="00226AC3"/>
    <w:rsid w:val="00226FF8"/>
    <w:rsid w:val="00227F49"/>
    <w:rsid w:val="00230DAD"/>
    <w:rsid w:val="00230EFD"/>
    <w:rsid w:val="002346B1"/>
    <w:rsid w:val="00236BB5"/>
    <w:rsid w:val="00237101"/>
    <w:rsid w:val="00237395"/>
    <w:rsid w:val="00240F36"/>
    <w:rsid w:val="002413DE"/>
    <w:rsid w:val="00241CCB"/>
    <w:rsid w:val="00241DD3"/>
    <w:rsid w:val="00243629"/>
    <w:rsid w:val="002440CF"/>
    <w:rsid w:val="00245D5C"/>
    <w:rsid w:val="00246321"/>
    <w:rsid w:val="002466CA"/>
    <w:rsid w:val="002477F5"/>
    <w:rsid w:val="00247817"/>
    <w:rsid w:val="00247E92"/>
    <w:rsid w:val="002505B3"/>
    <w:rsid w:val="00250814"/>
    <w:rsid w:val="00251039"/>
    <w:rsid w:val="00251452"/>
    <w:rsid w:val="00251BDD"/>
    <w:rsid w:val="002521B5"/>
    <w:rsid w:val="0025252D"/>
    <w:rsid w:val="00253913"/>
    <w:rsid w:val="00255C4F"/>
    <w:rsid w:val="00255CFE"/>
    <w:rsid w:val="0025613A"/>
    <w:rsid w:val="002565CD"/>
    <w:rsid w:val="0026018A"/>
    <w:rsid w:val="00262647"/>
    <w:rsid w:val="002627D5"/>
    <w:rsid w:val="00262892"/>
    <w:rsid w:val="00262C9E"/>
    <w:rsid w:val="00263FE2"/>
    <w:rsid w:val="00264161"/>
    <w:rsid w:val="002641F4"/>
    <w:rsid w:val="00264D71"/>
    <w:rsid w:val="002660FD"/>
    <w:rsid w:val="002708B4"/>
    <w:rsid w:val="00271236"/>
    <w:rsid w:val="0027279E"/>
    <w:rsid w:val="00273153"/>
    <w:rsid w:val="00273801"/>
    <w:rsid w:val="0027391A"/>
    <w:rsid w:val="002743F6"/>
    <w:rsid w:val="002756FD"/>
    <w:rsid w:val="00277B98"/>
    <w:rsid w:val="002802FA"/>
    <w:rsid w:val="002807A7"/>
    <w:rsid w:val="002810C0"/>
    <w:rsid w:val="002818B1"/>
    <w:rsid w:val="00282E58"/>
    <w:rsid w:val="00282FEE"/>
    <w:rsid w:val="00283A76"/>
    <w:rsid w:val="00284F79"/>
    <w:rsid w:val="002850B7"/>
    <w:rsid w:val="0028536A"/>
    <w:rsid w:val="00285BE9"/>
    <w:rsid w:val="002862B6"/>
    <w:rsid w:val="00286FC6"/>
    <w:rsid w:val="002877B3"/>
    <w:rsid w:val="002909AE"/>
    <w:rsid w:val="0029106F"/>
    <w:rsid w:val="0029203B"/>
    <w:rsid w:val="00292A7D"/>
    <w:rsid w:val="002937F5"/>
    <w:rsid w:val="00294504"/>
    <w:rsid w:val="00295CC8"/>
    <w:rsid w:val="00295CDD"/>
    <w:rsid w:val="00296155"/>
    <w:rsid w:val="002A01DC"/>
    <w:rsid w:val="002A08AF"/>
    <w:rsid w:val="002A0A79"/>
    <w:rsid w:val="002A1968"/>
    <w:rsid w:val="002A1BD5"/>
    <w:rsid w:val="002A3120"/>
    <w:rsid w:val="002A3BDE"/>
    <w:rsid w:val="002A3D00"/>
    <w:rsid w:val="002A43E3"/>
    <w:rsid w:val="002A4800"/>
    <w:rsid w:val="002A4BF6"/>
    <w:rsid w:val="002A54DC"/>
    <w:rsid w:val="002A5A9D"/>
    <w:rsid w:val="002A79D7"/>
    <w:rsid w:val="002A7B6F"/>
    <w:rsid w:val="002B0451"/>
    <w:rsid w:val="002B0845"/>
    <w:rsid w:val="002B28B1"/>
    <w:rsid w:val="002B2D68"/>
    <w:rsid w:val="002B2F2D"/>
    <w:rsid w:val="002B371D"/>
    <w:rsid w:val="002B4811"/>
    <w:rsid w:val="002B5080"/>
    <w:rsid w:val="002B50BE"/>
    <w:rsid w:val="002B5A25"/>
    <w:rsid w:val="002B6563"/>
    <w:rsid w:val="002B68B3"/>
    <w:rsid w:val="002B69B7"/>
    <w:rsid w:val="002B7ABC"/>
    <w:rsid w:val="002C0872"/>
    <w:rsid w:val="002C0E20"/>
    <w:rsid w:val="002C366A"/>
    <w:rsid w:val="002C41A4"/>
    <w:rsid w:val="002C4597"/>
    <w:rsid w:val="002C574C"/>
    <w:rsid w:val="002C57D2"/>
    <w:rsid w:val="002C5A7C"/>
    <w:rsid w:val="002C5BEC"/>
    <w:rsid w:val="002C5FFF"/>
    <w:rsid w:val="002C7466"/>
    <w:rsid w:val="002C79EA"/>
    <w:rsid w:val="002D06F4"/>
    <w:rsid w:val="002D0DF3"/>
    <w:rsid w:val="002D0E7C"/>
    <w:rsid w:val="002D16B4"/>
    <w:rsid w:val="002D19DB"/>
    <w:rsid w:val="002D1EC5"/>
    <w:rsid w:val="002D41A4"/>
    <w:rsid w:val="002D4483"/>
    <w:rsid w:val="002D50C2"/>
    <w:rsid w:val="002D5BE2"/>
    <w:rsid w:val="002D6C03"/>
    <w:rsid w:val="002D6D5C"/>
    <w:rsid w:val="002D7A19"/>
    <w:rsid w:val="002E11BB"/>
    <w:rsid w:val="002E3034"/>
    <w:rsid w:val="002E322B"/>
    <w:rsid w:val="002E3D3B"/>
    <w:rsid w:val="002E404A"/>
    <w:rsid w:val="002E40E0"/>
    <w:rsid w:val="002E508D"/>
    <w:rsid w:val="002E50C7"/>
    <w:rsid w:val="002E760C"/>
    <w:rsid w:val="002E7E0F"/>
    <w:rsid w:val="002F0066"/>
    <w:rsid w:val="002F09D3"/>
    <w:rsid w:val="002F1330"/>
    <w:rsid w:val="002F1E4B"/>
    <w:rsid w:val="002F2171"/>
    <w:rsid w:val="002F290A"/>
    <w:rsid w:val="002F3D94"/>
    <w:rsid w:val="003003E7"/>
    <w:rsid w:val="00300405"/>
    <w:rsid w:val="00300536"/>
    <w:rsid w:val="003009B4"/>
    <w:rsid w:val="003013BC"/>
    <w:rsid w:val="003018FE"/>
    <w:rsid w:val="003020D5"/>
    <w:rsid w:val="003024E7"/>
    <w:rsid w:val="00302F9F"/>
    <w:rsid w:val="0030520C"/>
    <w:rsid w:val="00306960"/>
    <w:rsid w:val="003072F8"/>
    <w:rsid w:val="003077B6"/>
    <w:rsid w:val="0031269A"/>
    <w:rsid w:val="00312C65"/>
    <w:rsid w:val="003160C3"/>
    <w:rsid w:val="003168D3"/>
    <w:rsid w:val="00316EB4"/>
    <w:rsid w:val="00316F2D"/>
    <w:rsid w:val="00317AE7"/>
    <w:rsid w:val="00321203"/>
    <w:rsid w:val="00321934"/>
    <w:rsid w:val="00322C9F"/>
    <w:rsid w:val="00322CAE"/>
    <w:rsid w:val="003237A4"/>
    <w:rsid w:val="00324516"/>
    <w:rsid w:val="00327A83"/>
    <w:rsid w:val="00330235"/>
    <w:rsid w:val="00330417"/>
    <w:rsid w:val="00330559"/>
    <w:rsid w:val="003308AB"/>
    <w:rsid w:val="00330B4E"/>
    <w:rsid w:val="00331380"/>
    <w:rsid w:val="00331607"/>
    <w:rsid w:val="0033183E"/>
    <w:rsid w:val="00333EB7"/>
    <w:rsid w:val="00335BAB"/>
    <w:rsid w:val="0033680F"/>
    <w:rsid w:val="003410B3"/>
    <w:rsid w:val="0034139C"/>
    <w:rsid w:val="00341780"/>
    <w:rsid w:val="00344422"/>
    <w:rsid w:val="0035089C"/>
    <w:rsid w:val="00351414"/>
    <w:rsid w:val="00351677"/>
    <w:rsid w:val="00351F9A"/>
    <w:rsid w:val="0035219D"/>
    <w:rsid w:val="00352310"/>
    <w:rsid w:val="00352D13"/>
    <w:rsid w:val="00354769"/>
    <w:rsid w:val="0035481C"/>
    <w:rsid w:val="00354C82"/>
    <w:rsid w:val="00355EBE"/>
    <w:rsid w:val="00357B5D"/>
    <w:rsid w:val="003606B3"/>
    <w:rsid w:val="003615B9"/>
    <w:rsid w:val="00361BDF"/>
    <w:rsid w:val="00361E64"/>
    <w:rsid w:val="003620B0"/>
    <w:rsid w:val="00362DEC"/>
    <w:rsid w:val="00362ECD"/>
    <w:rsid w:val="00362F5D"/>
    <w:rsid w:val="00363499"/>
    <w:rsid w:val="0036382F"/>
    <w:rsid w:val="00363934"/>
    <w:rsid w:val="003656E0"/>
    <w:rsid w:val="00365737"/>
    <w:rsid w:val="003734FA"/>
    <w:rsid w:val="003737D9"/>
    <w:rsid w:val="003779E7"/>
    <w:rsid w:val="0038006C"/>
    <w:rsid w:val="00382C61"/>
    <w:rsid w:val="00382E0C"/>
    <w:rsid w:val="003867A1"/>
    <w:rsid w:val="0038692E"/>
    <w:rsid w:val="0038706D"/>
    <w:rsid w:val="00387A9C"/>
    <w:rsid w:val="00391F19"/>
    <w:rsid w:val="00392D69"/>
    <w:rsid w:val="00393639"/>
    <w:rsid w:val="00393C79"/>
    <w:rsid w:val="003943A3"/>
    <w:rsid w:val="00395682"/>
    <w:rsid w:val="00396E96"/>
    <w:rsid w:val="003973CA"/>
    <w:rsid w:val="003A04A7"/>
    <w:rsid w:val="003A083D"/>
    <w:rsid w:val="003A1125"/>
    <w:rsid w:val="003A11B0"/>
    <w:rsid w:val="003A144A"/>
    <w:rsid w:val="003A283E"/>
    <w:rsid w:val="003A3B18"/>
    <w:rsid w:val="003A455C"/>
    <w:rsid w:val="003A4B45"/>
    <w:rsid w:val="003A4E4A"/>
    <w:rsid w:val="003A766B"/>
    <w:rsid w:val="003B0C36"/>
    <w:rsid w:val="003B322E"/>
    <w:rsid w:val="003B51AD"/>
    <w:rsid w:val="003B5EE5"/>
    <w:rsid w:val="003B65C8"/>
    <w:rsid w:val="003B6F9A"/>
    <w:rsid w:val="003B7258"/>
    <w:rsid w:val="003C09DF"/>
    <w:rsid w:val="003C2264"/>
    <w:rsid w:val="003C2621"/>
    <w:rsid w:val="003C37B0"/>
    <w:rsid w:val="003C4DE0"/>
    <w:rsid w:val="003C5BDB"/>
    <w:rsid w:val="003C5F30"/>
    <w:rsid w:val="003C7349"/>
    <w:rsid w:val="003D054F"/>
    <w:rsid w:val="003D123B"/>
    <w:rsid w:val="003D14E2"/>
    <w:rsid w:val="003D1BB8"/>
    <w:rsid w:val="003D23FE"/>
    <w:rsid w:val="003D27C3"/>
    <w:rsid w:val="003D590C"/>
    <w:rsid w:val="003D6AD2"/>
    <w:rsid w:val="003E0406"/>
    <w:rsid w:val="003E1CD8"/>
    <w:rsid w:val="003E22E1"/>
    <w:rsid w:val="003E2B99"/>
    <w:rsid w:val="003E2EA8"/>
    <w:rsid w:val="003E3F99"/>
    <w:rsid w:val="003E5A19"/>
    <w:rsid w:val="003E7017"/>
    <w:rsid w:val="003E7CD6"/>
    <w:rsid w:val="003E7E3E"/>
    <w:rsid w:val="003E7E4F"/>
    <w:rsid w:val="003F0D4E"/>
    <w:rsid w:val="003F20C7"/>
    <w:rsid w:val="003F2F25"/>
    <w:rsid w:val="003F3740"/>
    <w:rsid w:val="003F3833"/>
    <w:rsid w:val="003F3F83"/>
    <w:rsid w:val="00400446"/>
    <w:rsid w:val="00401842"/>
    <w:rsid w:val="004022A2"/>
    <w:rsid w:val="0040248F"/>
    <w:rsid w:val="004033A4"/>
    <w:rsid w:val="0040353B"/>
    <w:rsid w:val="00404714"/>
    <w:rsid w:val="0040486C"/>
    <w:rsid w:val="00405248"/>
    <w:rsid w:val="0040537E"/>
    <w:rsid w:val="00405D0D"/>
    <w:rsid w:val="00406A03"/>
    <w:rsid w:val="004072BF"/>
    <w:rsid w:val="004117B8"/>
    <w:rsid w:val="00411FBB"/>
    <w:rsid w:val="00411FD1"/>
    <w:rsid w:val="00412379"/>
    <w:rsid w:val="00412923"/>
    <w:rsid w:val="00414138"/>
    <w:rsid w:val="004143C6"/>
    <w:rsid w:val="0041524C"/>
    <w:rsid w:val="00417275"/>
    <w:rsid w:val="00417786"/>
    <w:rsid w:val="004177A1"/>
    <w:rsid w:val="004208C5"/>
    <w:rsid w:val="00420D6E"/>
    <w:rsid w:val="00421B8B"/>
    <w:rsid w:val="00422261"/>
    <w:rsid w:val="0042321F"/>
    <w:rsid w:val="00423BE8"/>
    <w:rsid w:val="00425082"/>
    <w:rsid w:val="00427793"/>
    <w:rsid w:val="00427C0E"/>
    <w:rsid w:val="00430FC0"/>
    <w:rsid w:val="00431ECC"/>
    <w:rsid w:val="00432107"/>
    <w:rsid w:val="00432A9D"/>
    <w:rsid w:val="0043445B"/>
    <w:rsid w:val="00434570"/>
    <w:rsid w:val="00436133"/>
    <w:rsid w:val="00436321"/>
    <w:rsid w:val="00436B66"/>
    <w:rsid w:val="00437345"/>
    <w:rsid w:val="0044000A"/>
    <w:rsid w:val="00441065"/>
    <w:rsid w:val="00444EC5"/>
    <w:rsid w:val="0044712B"/>
    <w:rsid w:val="004472D9"/>
    <w:rsid w:val="00450213"/>
    <w:rsid w:val="004517D6"/>
    <w:rsid w:val="00452B4A"/>
    <w:rsid w:val="0045373E"/>
    <w:rsid w:val="004543B3"/>
    <w:rsid w:val="00454967"/>
    <w:rsid w:val="0045499A"/>
    <w:rsid w:val="00455B04"/>
    <w:rsid w:val="004565BB"/>
    <w:rsid w:val="004566D7"/>
    <w:rsid w:val="00456993"/>
    <w:rsid w:val="00461CDF"/>
    <w:rsid w:val="004623D4"/>
    <w:rsid w:val="00463334"/>
    <w:rsid w:val="004633FF"/>
    <w:rsid w:val="00463885"/>
    <w:rsid w:val="004651CB"/>
    <w:rsid w:val="004652F3"/>
    <w:rsid w:val="004668F4"/>
    <w:rsid w:val="0047084D"/>
    <w:rsid w:val="00470C25"/>
    <w:rsid w:val="0047100C"/>
    <w:rsid w:val="00471599"/>
    <w:rsid w:val="004744CB"/>
    <w:rsid w:val="0047486E"/>
    <w:rsid w:val="0047491B"/>
    <w:rsid w:val="004752A6"/>
    <w:rsid w:val="004753CD"/>
    <w:rsid w:val="00475A76"/>
    <w:rsid w:val="00476653"/>
    <w:rsid w:val="00476857"/>
    <w:rsid w:val="004774E0"/>
    <w:rsid w:val="00480037"/>
    <w:rsid w:val="004805EE"/>
    <w:rsid w:val="00481D35"/>
    <w:rsid w:val="004825F7"/>
    <w:rsid w:val="004836AF"/>
    <w:rsid w:val="00483F91"/>
    <w:rsid w:val="0048453B"/>
    <w:rsid w:val="0048511E"/>
    <w:rsid w:val="0048524F"/>
    <w:rsid w:val="00486BFE"/>
    <w:rsid w:val="00487E03"/>
    <w:rsid w:val="004904CC"/>
    <w:rsid w:val="00490D5F"/>
    <w:rsid w:val="00491112"/>
    <w:rsid w:val="00491D50"/>
    <w:rsid w:val="0049290B"/>
    <w:rsid w:val="0049297D"/>
    <w:rsid w:val="00493DB5"/>
    <w:rsid w:val="00494737"/>
    <w:rsid w:val="00494C71"/>
    <w:rsid w:val="00496DA3"/>
    <w:rsid w:val="004A080B"/>
    <w:rsid w:val="004A1BA0"/>
    <w:rsid w:val="004A2105"/>
    <w:rsid w:val="004A24E6"/>
    <w:rsid w:val="004A53A3"/>
    <w:rsid w:val="004A5C5B"/>
    <w:rsid w:val="004B02E2"/>
    <w:rsid w:val="004B5442"/>
    <w:rsid w:val="004B6615"/>
    <w:rsid w:val="004B6A2B"/>
    <w:rsid w:val="004B6ED2"/>
    <w:rsid w:val="004B7A48"/>
    <w:rsid w:val="004B7DCF"/>
    <w:rsid w:val="004B7FA6"/>
    <w:rsid w:val="004C1E79"/>
    <w:rsid w:val="004C209B"/>
    <w:rsid w:val="004C29AD"/>
    <w:rsid w:val="004C2BCB"/>
    <w:rsid w:val="004C3695"/>
    <w:rsid w:val="004C3A88"/>
    <w:rsid w:val="004C513F"/>
    <w:rsid w:val="004C5208"/>
    <w:rsid w:val="004C58F0"/>
    <w:rsid w:val="004C5FE9"/>
    <w:rsid w:val="004C6459"/>
    <w:rsid w:val="004C660E"/>
    <w:rsid w:val="004C7659"/>
    <w:rsid w:val="004C7892"/>
    <w:rsid w:val="004D1637"/>
    <w:rsid w:val="004D35B1"/>
    <w:rsid w:val="004D4CCE"/>
    <w:rsid w:val="004D5127"/>
    <w:rsid w:val="004D6F6C"/>
    <w:rsid w:val="004D7343"/>
    <w:rsid w:val="004D7B2A"/>
    <w:rsid w:val="004D7FF6"/>
    <w:rsid w:val="004E025A"/>
    <w:rsid w:val="004E218C"/>
    <w:rsid w:val="004E28EE"/>
    <w:rsid w:val="004E44A2"/>
    <w:rsid w:val="004E4A41"/>
    <w:rsid w:val="004E51AD"/>
    <w:rsid w:val="004E5627"/>
    <w:rsid w:val="004E57BC"/>
    <w:rsid w:val="004E5BA9"/>
    <w:rsid w:val="004E69A9"/>
    <w:rsid w:val="004E77D3"/>
    <w:rsid w:val="004E78F7"/>
    <w:rsid w:val="004E7B72"/>
    <w:rsid w:val="004F0075"/>
    <w:rsid w:val="004F133A"/>
    <w:rsid w:val="004F1723"/>
    <w:rsid w:val="004F1B36"/>
    <w:rsid w:val="004F2593"/>
    <w:rsid w:val="004F3911"/>
    <w:rsid w:val="004F504F"/>
    <w:rsid w:val="004F5922"/>
    <w:rsid w:val="004F65F2"/>
    <w:rsid w:val="004F6717"/>
    <w:rsid w:val="004F69E3"/>
    <w:rsid w:val="004F6A9B"/>
    <w:rsid w:val="004F6DAB"/>
    <w:rsid w:val="004F6FFF"/>
    <w:rsid w:val="004F7722"/>
    <w:rsid w:val="005003E9"/>
    <w:rsid w:val="005005B0"/>
    <w:rsid w:val="0050124E"/>
    <w:rsid w:val="005019DA"/>
    <w:rsid w:val="00503275"/>
    <w:rsid w:val="00505729"/>
    <w:rsid w:val="00505784"/>
    <w:rsid w:val="00505C65"/>
    <w:rsid w:val="00505E64"/>
    <w:rsid w:val="005060F4"/>
    <w:rsid w:val="005063B9"/>
    <w:rsid w:val="0050696B"/>
    <w:rsid w:val="00506AAD"/>
    <w:rsid w:val="00511D88"/>
    <w:rsid w:val="00513AE8"/>
    <w:rsid w:val="00514703"/>
    <w:rsid w:val="00514E5D"/>
    <w:rsid w:val="0051595F"/>
    <w:rsid w:val="005165B7"/>
    <w:rsid w:val="00516F23"/>
    <w:rsid w:val="0052033D"/>
    <w:rsid w:val="005213C2"/>
    <w:rsid w:val="0052376B"/>
    <w:rsid w:val="0052459E"/>
    <w:rsid w:val="005250DF"/>
    <w:rsid w:val="00526243"/>
    <w:rsid w:val="00527049"/>
    <w:rsid w:val="00527819"/>
    <w:rsid w:val="00527A51"/>
    <w:rsid w:val="00527DBE"/>
    <w:rsid w:val="005309C9"/>
    <w:rsid w:val="005345B9"/>
    <w:rsid w:val="00534D1A"/>
    <w:rsid w:val="005358FA"/>
    <w:rsid w:val="00536B3A"/>
    <w:rsid w:val="00540619"/>
    <w:rsid w:val="00540F1A"/>
    <w:rsid w:val="00541D9C"/>
    <w:rsid w:val="00542598"/>
    <w:rsid w:val="00545172"/>
    <w:rsid w:val="005459A5"/>
    <w:rsid w:val="00545F33"/>
    <w:rsid w:val="00546390"/>
    <w:rsid w:val="005464FA"/>
    <w:rsid w:val="005468E7"/>
    <w:rsid w:val="005472E1"/>
    <w:rsid w:val="005475F6"/>
    <w:rsid w:val="00550BBA"/>
    <w:rsid w:val="00551143"/>
    <w:rsid w:val="00551466"/>
    <w:rsid w:val="00551C11"/>
    <w:rsid w:val="00552926"/>
    <w:rsid w:val="005536AE"/>
    <w:rsid w:val="00554BC8"/>
    <w:rsid w:val="00556190"/>
    <w:rsid w:val="0055626A"/>
    <w:rsid w:val="00556C93"/>
    <w:rsid w:val="00560526"/>
    <w:rsid w:val="00560C70"/>
    <w:rsid w:val="00561A84"/>
    <w:rsid w:val="00562964"/>
    <w:rsid w:val="00562F89"/>
    <w:rsid w:val="0056327F"/>
    <w:rsid w:val="00563A09"/>
    <w:rsid w:val="00564367"/>
    <w:rsid w:val="0056735F"/>
    <w:rsid w:val="0056783C"/>
    <w:rsid w:val="00570051"/>
    <w:rsid w:val="00570685"/>
    <w:rsid w:val="0057118D"/>
    <w:rsid w:val="00571390"/>
    <w:rsid w:val="005715DC"/>
    <w:rsid w:val="00572105"/>
    <w:rsid w:val="00573572"/>
    <w:rsid w:val="00573BD7"/>
    <w:rsid w:val="00574EFE"/>
    <w:rsid w:val="005772B1"/>
    <w:rsid w:val="00577624"/>
    <w:rsid w:val="0057796B"/>
    <w:rsid w:val="00577FF2"/>
    <w:rsid w:val="00580708"/>
    <w:rsid w:val="00581AC2"/>
    <w:rsid w:val="00582102"/>
    <w:rsid w:val="0058376C"/>
    <w:rsid w:val="00586688"/>
    <w:rsid w:val="00586DEF"/>
    <w:rsid w:val="00587D11"/>
    <w:rsid w:val="00587ED9"/>
    <w:rsid w:val="00590366"/>
    <w:rsid w:val="00590B03"/>
    <w:rsid w:val="00590F22"/>
    <w:rsid w:val="0059277A"/>
    <w:rsid w:val="005933DB"/>
    <w:rsid w:val="005938C1"/>
    <w:rsid w:val="005939BB"/>
    <w:rsid w:val="00593EF7"/>
    <w:rsid w:val="00594037"/>
    <w:rsid w:val="00594077"/>
    <w:rsid w:val="005945D6"/>
    <w:rsid w:val="00596B3D"/>
    <w:rsid w:val="005A0558"/>
    <w:rsid w:val="005A0D03"/>
    <w:rsid w:val="005A145F"/>
    <w:rsid w:val="005A15B7"/>
    <w:rsid w:val="005A1D36"/>
    <w:rsid w:val="005A27C1"/>
    <w:rsid w:val="005A2AB7"/>
    <w:rsid w:val="005A464B"/>
    <w:rsid w:val="005A5E4B"/>
    <w:rsid w:val="005A697B"/>
    <w:rsid w:val="005A70DD"/>
    <w:rsid w:val="005A7513"/>
    <w:rsid w:val="005B0873"/>
    <w:rsid w:val="005B119A"/>
    <w:rsid w:val="005B1492"/>
    <w:rsid w:val="005B162B"/>
    <w:rsid w:val="005B1B81"/>
    <w:rsid w:val="005B2291"/>
    <w:rsid w:val="005B4934"/>
    <w:rsid w:val="005B4DCE"/>
    <w:rsid w:val="005B5116"/>
    <w:rsid w:val="005B5207"/>
    <w:rsid w:val="005C091E"/>
    <w:rsid w:val="005C0D46"/>
    <w:rsid w:val="005C32D8"/>
    <w:rsid w:val="005C4821"/>
    <w:rsid w:val="005C4A36"/>
    <w:rsid w:val="005C4BA2"/>
    <w:rsid w:val="005C4C86"/>
    <w:rsid w:val="005C580C"/>
    <w:rsid w:val="005D00F9"/>
    <w:rsid w:val="005D263D"/>
    <w:rsid w:val="005D52D6"/>
    <w:rsid w:val="005D6E77"/>
    <w:rsid w:val="005D7228"/>
    <w:rsid w:val="005D7231"/>
    <w:rsid w:val="005E0352"/>
    <w:rsid w:val="005E0547"/>
    <w:rsid w:val="005E0634"/>
    <w:rsid w:val="005E1233"/>
    <w:rsid w:val="005E21DB"/>
    <w:rsid w:val="005E2F42"/>
    <w:rsid w:val="005E316E"/>
    <w:rsid w:val="005E5946"/>
    <w:rsid w:val="005E62C8"/>
    <w:rsid w:val="005E6336"/>
    <w:rsid w:val="005E63E7"/>
    <w:rsid w:val="005E76A0"/>
    <w:rsid w:val="005F1511"/>
    <w:rsid w:val="005F2672"/>
    <w:rsid w:val="005F2B62"/>
    <w:rsid w:val="005F345F"/>
    <w:rsid w:val="005F3F24"/>
    <w:rsid w:val="005F416B"/>
    <w:rsid w:val="005F458B"/>
    <w:rsid w:val="005F4727"/>
    <w:rsid w:val="005F4ED5"/>
    <w:rsid w:val="005F57ED"/>
    <w:rsid w:val="005F63B4"/>
    <w:rsid w:val="005F67BF"/>
    <w:rsid w:val="006006DA"/>
    <w:rsid w:val="00600961"/>
    <w:rsid w:val="00600C23"/>
    <w:rsid w:val="006022F7"/>
    <w:rsid w:val="00602D14"/>
    <w:rsid w:val="00603075"/>
    <w:rsid w:val="00603E08"/>
    <w:rsid w:val="00603E96"/>
    <w:rsid w:val="00604E4D"/>
    <w:rsid w:val="00605CDF"/>
    <w:rsid w:val="00607304"/>
    <w:rsid w:val="006077DE"/>
    <w:rsid w:val="00610B50"/>
    <w:rsid w:val="0061277E"/>
    <w:rsid w:val="00613323"/>
    <w:rsid w:val="00613A2C"/>
    <w:rsid w:val="00613D88"/>
    <w:rsid w:val="00614A47"/>
    <w:rsid w:val="00615DB9"/>
    <w:rsid w:val="00617165"/>
    <w:rsid w:val="00620A05"/>
    <w:rsid w:val="00623322"/>
    <w:rsid w:val="00624F32"/>
    <w:rsid w:val="00625AB0"/>
    <w:rsid w:val="00627EC3"/>
    <w:rsid w:val="0063195D"/>
    <w:rsid w:val="00631CED"/>
    <w:rsid w:val="006329A2"/>
    <w:rsid w:val="00632CCC"/>
    <w:rsid w:val="00633068"/>
    <w:rsid w:val="006334D0"/>
    <w:rsid w:val="00633FE8"/>
    <w:rsid w:val="006345DF"/>
    <w:rsid w:val="00634629"/>
    <w:rsid w:val="00635292"/>
    <w:rsid w:val="00637283"/>
    <w:rsid w:val="00637455"/>
    <w:rsid w:val="006376F7"/>
    <w:rsid w:val="0064075D"/>
    <w:rsid w:val="006408FE"/>
    <w:rsid w:val="0064138C"/>
    <w:rsid w:val="00641C81"/>
    <w:rsid w:val="0064574A"/>
    <w:rsid w:val="00646768"/>
    <w:rsid w:val="00646DDA"/>
    <w:rsid w:val="00647D2F"/>
    <w:rsid w:val="00650B9E"/>
    <w:rsid w:val="006518BF"/>
    <w:rsid w:val="00651C48"/>
    <w:rsid w:val="00651DA3"/>
    <w:rsid w:val="00651F68"/>
    <w:rsid w:val="00652A13"/>
    <w:rsid w:val="00652F28"/>
    <w:rsid w:val="006531F2"/>
    <w:rsid w:val="00653860"/>
    <w:rsid w:val="0065418F"/>
    <w:rsid w:val="00654BE8"/>
    <w:rsid w:val="0065775A"/>
    <w:rsid w:val="0065792F"/>
    <w:rsid w:val="00657967"/>
    <w:rsid w:val="00657F8F"/>
    <w:rsid w:val="0066105A"/>
    <w:rsid w:val="00661360"/>
    <w:rsid w:val="00663377"/>
    <w:rsid w:val="00664C79"/>
    <w:rsid w:val="0066510B"/>
    <w:rsid w:val="0066575B"/>
    <w:rsid w:val="006658BA"/>
    <w:rsid w:val="006664C4"/>
    <w:rsid w:val="00666822"/>
    <w:rsid w:val="00666D25"/>
    <w:rsid w:val="00670072"/>
    <w:rsid w:val="00670661"/>
    <w:rsid w:val="006709D7"/>
    <w:rsid w:val="00672C5E"/>
    <w:rsid w:val="006731B0"/>
    <w:rsid w:val="006735C5"/>
    <w:rsid w:val="0067396E"/>
    <w:rsid w:val="006749E7"/>
    <w:rsid w:val="00674B2C"/>
    <w:rsid w:val="00675BA5"/>
    <w:rsid w:val="00677A92"/>
    <w:rsid w:val="006805E1"/>
    <w:rsid w:val="00680B3C"/>
    <w:rsid w:val="00680E7D"/>
    <w:rsid w:val="0068127A"/>
    <w:rsid w:val="0068157C"/>
    <w:rsid w:val="00682462"/>
    <w:rsid w:val="006829FE"/>
    <w:rsid w:val="00682AC9"/>
    <w:rsid w:val="00682AEB"/>
    <w:rsid w:val="006836C5"/>
    <w:rsid w:val="00683754"/>
    <w:rsid w:val="0068489D"/>
    <w:rsid w:val="006851DD"/>
    <w:rsid w:val="0068528C"/>
    <w:rsid w:val="00685621"/>
    <w:rsid w:val="00685D93"/>
    <w:rsid w:val="00685E4C"/>
    <w:rsid w:val="00685ECE"/>
    <w:rsid w:val="00692122"/>
    <w:rsid w:val="00692FAA"/>
    <w:rsid w:val="00693914"/>
    <w:rsid w:val="00693BB8"/>
    <w:rsid w:val="00694C12"/>
    <w:rsid w:val="00697ADC"/>
    <w:rsid w:val="006A07EC"/>
    <w:rsid w:val="006A0E26"/>
    <w:rsid w:val="006A227E"/>
    <w:rsid w:val="006A33DC"/>
    <w:rsid w:val="006A3509"/>
    <w:rsid w:val="006A5FCD"/>
    <w:rsid w:val="006A7C5C"/>
    <w:rsid w:val="006B26BD"/>
    <w:rsid w:val="006B482E"/>
    <w:rsid w:val="006B4F8D"/>
    <w:rsid w:val="006B5736"/>
    <w:rsid w:val="006B5889"/>
    <w:rsid w:val="006B5C60"/>
    <w:rsid w:val="006B61D5"/>
    <w:rsid w:val="006C0A8D"/>
    <w:rsid w:val="006C1B0C"/>
    <w:rsid w:val="006C20A4"/>
    <w:rsid w:val="006C23B5"/>
    <w:rsid w:val="006C25FA"/>
    <w:rsid w:val="006C3051"/>
    <w:rsid w:val="006C34B9"/>
    <w:rsid w:val="006C4446"/>
    <w:rsid w:val="006C52B9"/>
    <w:rsid w:val="006C6026"/>
    <w:rsid w:val="006C793E"/>
    <w:rsid w:val="006C7950"/>
    <w:rsid w:val="006C7EFB"/>
    <w:rsid w:val="006D0708"/>
    <w:rsid w:val="006D3DC3"/>
    <w:rsid w:val="006D554A"/>
    <w:rsid w:val="006D558D"/>
    <w:rsid w:val="006D57A9"/>
    <w:rsid w:val="006D5ABF"/>
    <w:rsid w:val="006D5C2F"/>
    <w:rsid w:val="006D5D6A"/>
    <w:rsid w:val="006D721C"/>
    <w:rsid w:val="006D7FDE"/>
    <w:rsid w:val="006E016A"/>
    <w:rsid w:val="006E02CF"/>
    <w:rsid w:val="006E0E19"/>
    <w:rsid w:val="006E125D"/>
    <w:rsid w:val="006E1BE5"/>
    <w:rsid w:val="006E3D8A"/>
    <w:rsid w:val="006E40F0"/>
    <w:rsid w:val="006E480F"/>
    <w:rsid w:val="006E52B4"/>
    <w:rsid w:val="006E55AB"/>
    <w:rsid w:val="006E5E31"/>
    <w:rsid w:val="006E631F"/>
    <w:rsid w:val="006F26CB"/>
    <w:rsid w:val="006F2FE4"/>
    <w:rsid w:val="006F454D"/>
    <w:rsid w:val="006F4769"/>
    <w:rsid w:val="006F4B71"/>
    <w:rsid w:val="006F56F5"/>
    <w:rsid w:val="0070139B"/>
    <w:rsid w:val="00701A83"/>
    <w:rsid w:val="00703B74"/>
    <w:rsid w:val="0070409B"/>
    <w:rsid w:val="00704972"/>
    <w:rsid w:val="00704EE2"/>
    <w:rsid w:val="00705155"/>
    <w:rsid w:val="007064C8"/>
    <w:rsid w:val="00706F9E"/>
    <w:rsid w:val="0070739A"/>
    <w:rsid w:val="007079BF"/>
    <w:rsid w:val="00707B0C"/>
    <w:rsid w:val="00711891"/>
    <w:rsid w:val="00712774"/>
    <w:rsid w:val="007139A7"/>
    <w:rsid w:val="00714372"/>
    <w:rsid w:val="00715A21"/>
    <w:rsid w:val="00716399"/>
    <w:rsid w:val="00717EBB"/>
    <w:rsid w:val="00717F54"/>
    <w:rsid w:val="0072031F"/>
    <w:rsid w:val="00722BFF"/>
    <w:rsid w:val="007240F1"/>
    <w:rsid w:val="0072468D"/>
    <w:rsid w:val="00724D78"/>
    <w:rsid w:val="00724FD5"/>
    <w:rsid w:val="00725D5B"/>
    <w:rsid w:val="00726312"/>
    <w:rsid w:val="00726BB4"/>
    <w:rsid w:val="007305AE"/>
    <w:rsid w:val="00730AAF"/>
    <w:rsid w:val="00731402"/>
    <w:rsid w:val="00731583"/>
    <w:rsid w:val="007318EC"/>
    <w:rsid w:val="0073194D"/>
    <w:rsid w:val="00731C9A"/>
    <w:rsid w:val="00733D04"/>
    <w:rsid w:val="0073461D"/>
    <w:rsid w:val="00734950"/>
    <w:rsid w:val="00735B2A"/>
    <w:rsid w:val="00736B90"/>
    <w:rsid w:val="00736D7C"/>
    <w:rsid w:val="00736DE3"/>
    <w:rsid w:val="00737639"/>
    <w:rsid w:val="007404EA"/>
    <w:rsid w:val="00740951"/>
    <w:rsid w:val="00740BD7"/>
    <w:rsid w:val="00741618"/>
    <w:rsid w:val="00741918"/>
    <w:rsid w:val="00741E22"/>
    <w:rsid w:val="00742149"/>
    <w:rsid w:val="00742B8D"/>
    <w:rsid w:val="00742F22"/>
    <w:rsid w:val="007438FE"/>
    <w:rsid w:val="00745C60"/>
    <w:rsid w:val="007528C0"/>
    <w:rsid w:val="00752EE7"/>
    <w:rsid w:val="00753029"/>
    <w:rsid w:val="0075521A"/>
    <w:rsid w:val="00755712"/>
    <w:rsid w:val="00756432"/>
    <w:rsid w:val="0075677F"/>
    <w:rsid w:val="007572B3"/>
    <w:rsid w:val="007577D6"/>
    <w:rsid w:val="007606C5"/>
    <w:rsid w:val="00761BC1"/>
    <w:rsid w:val="00761D9E"/>
    <w:rsid w:val="007630CE"/>
    <w:rsid w:val="00765BF3"/>
    <w:rsid w:val="00766B40"/>
    <w:rsid w:val="007700F4"/>
    <w:rsid w:val="00770142"/>
    <w:rsid w:val="00771809"/>
    <w:rsid w:val="00771826"/>
    <w:rsid w:val="00773BCB"/>
    <w:rsid w:val="00773FD7"/>
    <w:rsid w:val="00774C0C"/>
    <w:rsid w:val="00775CCC"/>
    <w:rsid w:val="0077664B"/>
    <w:rsid w:val="00777024"/>
    <w:rsid w:val="0077745D"/>
    <w:rsid w:val="007801E4"/>
    <w:rsid w:val="00780ECC"/>
    <w:rsid w:val="00780F88"/>
    <w:rsid w:val="007816F7"/>
    <w:rsid w:val="00781DFF"/>
    <w:rsid w:val="0078355E"/>
    <w:rsid w:val="00783B32"/>
    <w:rsid w:val="0078473F"/>
    <w:rsid w:val="007856EB"/>
    <w:rsid w:val="0078588E"/>
    <w:rsid w:val="007867B0"/>
    <w:rsid w:val="00791BA9"/>
    <w:rsid w:val="007923F0"/>
    <w:rsid w:val="00795582"/>
    <w:rsid w:val="00796A16"/>
    <w:rsid w:val="00796F53"/>
    <w:rsid w:val="007A0C76"/>
    <w:rsid w:val="007A0CAB"/>
    <w:rsid w:val="007A0CF2"/>
    <w:rsid w:val="007A5233"/>
    <w:rsid w:val="007A5E5A"/>
    <w:rsid w:val="007A642E"/>
    <w:rsid w:val="007A6EF9"/>
    <w:rsid w:val="007A75D1"/>
    <w:rsid w:val="007B0669"/>
    <w:rsid w:val="007B0F3E"/>
    <w:rsid w:val="007B3001"/>
    <w:rsid w:val="007B37AA"/>
    <w:rsid w:val="007B541F"/>
    <w:rsid w:val="007B55D2"/>
    <w:rsid w:val="007B6058"/>
    <w:rsid w:val="007B72C6"/>
    <w:rsid w:val="007B767D"/>
    <w:rsid w:val="007C1605"/>
    <w:rsid w:val="007C18FC"/>
    <w:rsid w:val="007C3B46"/>
    <w:rsid w:val="007C4071"/>
    <w:rsid w:val="007C4CF4"/>
    <w:rsid w:val="007C7B62"/>
    <w:rsid w:val="007D08AB"/>
    <w:rsid w:val="007D1F36"/>
    <w:rsid w:val="007D21FD"/>
    <w:rsid w:val="007D2878"/>
    <w:rsid w:val="007D3402"/>
    <w:rsid w:val="007D71A5"/>
    <w:rsid w:val="007E00F2"/>
    <w:rsid w:val="007E08E6"/>
    <w:rsid w:val="007E0D98"/>
    <w:rsid w:val="007E0F23"/>
    <w:rsid w:val="007E2413"/>
    <w:rsid w:val="007E2947"/>
    <w:rsid w:val="007E2AB1"/>
    <w:rsid w:val="007E3426"/>
    <w:rsid w:val="007E4E7C"/>
    <w:rsid w:val="007E5798"/>
    <w:rsid w:val="007E6D19"/>
    <w:rsid w:val="007E6EF6"/>
    <w:rsid w:val="007E73F6"/>
    <w:rsid w:val="007F0256"/>
    <w:rsid w:val="007F1E55"/>
    <w:rsid w:val="007F29CD"/>
    <w:rsid w:val="007F4C81"/>
    <w:rsid w:val="007F5FB7"/>
    <w:rsid w:val="007F6565"/>
    <w:rsid w:val="008010EC"/>
    <w:rsid w:val="008013EF"/>
    <w:rsid w:val="00802661"/>
    <w:rsid w:val="008047AA"/>
    <w:rsid w:val="00804F13"/>
    <w:rsid w:val="00805ED8"/>
    <w:rsid w:val="008061C8"/>
    <w:rsid w:val="00806BF8"/>
    <w:rsid w:val="0081199B"/>
    <w:rsid w:val="0081260B"/>
    <w:rsid w:val="00814562"/>
    <w:rsid w:val="00815923"/>
    <w:rsid w:val="00815956"/>
    <w:rsid w:val="00816213"/>
    <w:rsid w:val="00816816"/>
    <w:rsid w:val="00817280"/>
    <w:rsid w:val="00820309"/>
    <w:rsid w:val="00820F00"/>
    <w:rsid w:val="008219AB"/>
    <w:rsid w:val="008231C5"/>
    <w:rsid w:val="00823CEC"/>
    <w:rsid w:val="008278B4"/>
    <w:rsid w:val="008278B7"/>
    <w:rsid w:val="00827A5A"/>
    <w:rsid w:val="00827E15"/>
    <w:rsid w:val="00827E57"/>
    <w:rsid w:val="008306B0"/>
    <w:rsid w:val="00830C34"/>
    <w:rsid w:val="00830EBC"/>
    <w:rsid w:val="00831B20"/>
    <w:rsid w:val="008321A3"/>
    <w:rsid w:val="00832757"/>
    <w:rsid w:val="00834320"/>
    <w:rsid w:val="00836336"/>
    <w:rsid w:val="00837164"/>
    <w:rsid w:val="00837911"/>
    <w:rsid w:val="008401B1"/>
    <w:rsid w:val="00840FAF"/>
    <w:rsid w:val="008417DC"/>
    <w:rsid w:val="00841C54"/>
    <w:rsid w:val="00843B55"/>
    <w:rsid w:val="00844F97"/>
    <w:rsid w:val="00845384"/>
    <w:rsid w:val="00845918"/>
    <w:rsid w:val="00845BD1"/>
    <w:rsid w:val="00845EA4"/>
    <w:rsid w:val="008467C3"/>
    <w:rsid w:val="00846A57"/>
    <w:rsid w:val="00850380"/>
    <w:rsid w:val="008515E0"/>
    <w:rsid w:val="008521B6"/>
    <w:rsid w:val="00852659"/>
    <w:rsid w:val="008526E1"/>
    <w:rsid w:val="0085523D"/>
    <w:rsid w:val="00855824"/>
    <w:rsid w:val="00855B41"/>
    <w:rsid w:val="00856410"/>
    <w:rsid w:val="00856A9E"/>
    <w:rsid w:val="00857C58"/>
    <w:rsid w:val="00857F08"/>
    <w:rsid w:val="00860182"/>
    <w:rsid w:val="00860BDB"/>
    <w:rsid w:val="00860E10"/>
    <w:rsid w:val="00861D59"/>
    <w:rsid w:val="00863807"/>
    <w:rsid w:val="008644EE"/>
    <w:rsid w:val="00864D7F"/>
    <w:rsid w:val="00865182"/>
    <w:rsid w:val="00865AD3"/>
    <w:rsid w:val="00866562"/>
    <w:rsid w:val="00867C1D"/>
    <w:rsid w:val="00870323"/>
    <w:rsid w:val="0087033D"/>
    <w:rsid w:val="00871EDF"/>
    <w:rsid w:val="008730B7"/>
    <w:rsid w:val="0087436E"/>
    <w:rsid w:val="008749CA"/>
    <w:rsid w:val="00876643"/>
    <w:rsid w:val="0087746B"/>
    <w:rsid w:val="00877DA1"/>
    <w:rsid w:val="00880481"/>
    <w:rsid w:val="00881974"/>
    <w:rsid w:val="00882332"/>
    <w:rsid w:val="0088359F"/>
    <w:rsid w:val="0088365C"/>
    <w:rsid w:val="00885038"/>
    <w:rsid w:val="00885519"/>
    <w:rsid w:val="0088659C"/>
    <w:rsid w:val="00890342"/>
    <w:rsid w:val="00891C72"/>
    <w:rsid w:val="00891E46"/>
    <w:rsid w:val="00892050"/>
    <w:rsid w:val="00893474"/>
    <w:rsid w:val="00894A85"/>
    <w:rsid w:val="008964C2"/>
    <w:rsid w:val="00896C85"/>
    <w:rsid w:val="008979A1"/>
    <w:rsid w:val="008A054C"/>
    <w:rsid w:val="008A15EC"/>
    <w:rsid w:val="008A1A7E"/>
    <w:rsid w:val="008A37EB"/>
    <w:rsid w:val="008A3CF7"/>
    <w:rsid w:val="008A419B"/>
    <w:rsid w:val="008A445C"/>
    <w:rsid w:val="008A4A3F"/>
    <w:rsid w:val="008A5EE5"/>
    <w:rsid w:val="008A6105"/>
    <w:rsid w:val="008A6BB8"/>
    <w:rsid w:val="008A6F9A"/>
    <w:rsid w:val="008A76C5"/>
    <w:rsid w:val="008A7867"/>
    <w:rsid w:val="008B244E"/>
    <w:rsid w:val="008B2DCF"/>
    <w:rsid w:val="008B37C6"/>
    <w:rsid w:val="008B3FAB"/>
    <w:rsid w:val="008B44D1"/>
    <w:rsid w:val="008B467F"/>
    <w:rsid w:val="008B4B63"/>
    <w:rsid w:val="008B5C10"/>
    <w:rsid w:val="008B64C6"/>
    <w:rsid w:val="008B6CFC"/>
    <w:rsid w:val="008B722A"/>
    <w:rsid w:val="008C1410"/>
    <w:rsid w:val="008C20DD"/>
    <w:rsid w:val="008C29B7"/>
    <w:rsid w:val="008C43D3"/>
    <w:rsid w:val="008C4888"/>
    <w:rsid w:val="008C4E11"/>
    <w:rsid w:val="008C52A1"/>
    <w:rsid w:val="008C643C"/>
    <w:rsid w:val="008C6553"/>
    <w:rsid w:val="008C6788"/>
    <w:rsid w:val="008C69D7"/>
    <w:rsid w:val="008C6C9F"/>
    <w:rsid w:val="008C789B"/>
    <w:rsid w:val="008C7EE5"/>
    <w:rsid w:val="008D03E6"/>
    <w:rsid w:val="008D1634"/>
    <w:rsid w:val="008D2884"/>
    <w:rsid w:val="008D3181"/>
    <w:rsid w:val="008D41A1"/>
    <w:rsid w:val="008D41C7"/>
    <w:rsid w:val="008D5FD3"/>
    <w:rsid w:val="008D78FB"/>
    <w:rsid w:val="008D7AB4"/>
    <w:rsid w:val="008E14A6"/>
    <w:rsid w:val="008E248A"/>
    <w:rsid w:val="008E38B6"/>
    <w:rsid w:val="008E62E1"/>
    <w:rsid w:val="008E75CE"/>
    <w:rsid w:val="008E7781"/>
    <w:rsid w:val="008E7BD2"/>
    <w:rsid w:val="008F08A1"/>
    <w:rsid w:val="008F0B79"/>
    <w:rsid w:val="008F2518"/>
    <w:rsid w:val="008F288F"/>
    <w:rsid w:val="008F4CE6"/>
    <w:rsid w:val="008F5D88"/>
    <w:rsid w:val="008F5F63"/>
    <w:rsid w:val="008F5F8E"/>
    <w:rsid w:val="008F717C"/>
    <w:rsid w:val="008F74D6"/>
    <w:rsid w:val="00900D36"/>
    <w:rsid w:val="00900D73"/>
    <w:rsid w:val="00900FF9"/>
    <w:rsid w:val="00901926"/>
    <w:rsid w:val="009032D9"/>
    <w:rsid w:val="00903538"/>
    <w:rsid w:val="009035DE"/>
    <w:rsid w:val="00903E89"/>
    <w:rsid w:val="00904A71"/>
    <w:rsid w:val="00905559"/>
    <w:rsid w:val="009059E6"/>
    <w:rsid w:val="00906E84"/>
    <w:rsid w:val="00907BAB"/>
    <w:rsid w:val="009100FF"/>
    <w:rsid w:val="0091100B"/>
    <w:rsid w:val="00911D79"/>
    <w:rsid w:val="0091266B"/>
    <w:rsid w:val="009149B2"/>
    <w:rsid w:val="00914AA2"/>
    <w:rsid w:val="00915EF0"/>
    <w:rsid w:val="0091679D"/>
    <w:rsid w:val="00916989"/>
    <w:rsid w:val="00916AF2"/>
    <w:rsid w:val="009173B6"/>
    <w:rsid w:val="00917D2E"/>
    <w:rsid w:val="0092008D"/>
    <w:rsid w:val="00920324"/>
    <w:rsid w:val="0092490F"/>
    <w:rsid w:val="009252E5"/>
    <w:rsid w:val="009257FC"/>
    <w:rsid w:val="00926BAE"/>
    <w:rsid w:val="00926C37"/>
    <w:rsid w:val="00927394"/>
    <w:rsid w:val="009279A1"/>
    <w:rsid w:val="00927BE8"/>
    <w:rsid w:val="009306BD"/>
    <w:rsid w:val="0093176D"/>
    <w:rsid w:val="00931ED5"/>
    <w:rsid w:val="0093247E"/>
    <w:rsid w:val="009329CF"/>
    <w:rsid w:val="00935664"/>
    <w:rsid w:val="00935CCF"/>
    <w:rsid w:val="00936838"/>
    <w:rsid w:val="00936ED4"/>
    <w:rsid w:val="009408D5"/>
    <w:rsid w:val="0094110F"/>
    <w:rsid w:val="00941BCE"/>
    <w:rsid w:val="009422C4"/>
    <w:rsid w:val="009422C5"/>
    <w:rsid w:val="00942742"/>
    <w:rsid w:val="00942FD8"/>
    <w:rsid w:val="009430C8"/>
    <w:rsid w:val="009436E4"/>
    <w:rsid w:val="00943852"/>
    <w:rsid w:val="00944E54"/>
    <w:rsid w:val="0094538D"/>
    <w:rsid w:val="009456F9"/>
    <w:rsid w:val="0094746A"/>
    <w:rsid w:val="009505A5"/>
    <w:rsid w:val="0095171B"/>
    <w:rsid w:val="009525B5"/>
    <w:rsid w:val="00952ACA"/>
    <w:rsid w:val="00953C4D"/>
    <w:rsid w:val="00954B4F"/>
    <w:rsid w:val="00954C6D"/>
    <w:rsid w:val="00954F45"/>
    <w:rsid w:val="009568BA"/>
    <w:rsid w:val="009568EB"/>
    <w:rsid w:val="00957FD9"/>
    <w:rsid w:val="00960930"/>
    <w:rsid w:val="0096096A"/>
    <w:rsid w:val="00960F41"/>
    <w:rsid w:val="00961BC4"/>
    <w:rsid w:val="00962F9B"/>
    <w:rsid w:val="00963254"/>
    <w:rsid w:val="009633F6"/>
    <w:rsid w:val="00963A99"/>
    <w:rsid w:val="00963ADB"/>
    <w:rsid w:val="00964A58"/>
    <w:rsid w:val="009669E8"/>
    <w:rsid w:val="00966CFF"/>
    <w:rsid w:val="00967B15"/>
    <w:rsid w:val="00967BFB"/>
    <w:rsid w:val="0097046B"/>
    <w:rsid w:val="009704C2"/>
    <w:rsid w:val="009712E2"/>
    <w:rsid w:val="00972149"/>
    <w:rsid w:val="0097335D"/>
    <w:rsid w:val="00974958"/>
    <w:rsid w:val="00975DFD"/>
    <w:rsid w:val="00977747"/>
    <w:rsid w:val="00977FD5"/>
    <w:rsid w:val="009817EB"/>
    <w:rsid w:val="00981958"/>
    <w:rsid w:val="00981F14"/>
    <w:rsid w:val="00981F53"/>
    <w:rsid w:val="00982AFF"/>
    <w:rsid w:val="009831F9"/>
    <w:rsid w:val="0098337B"/>
    <w:rsid w:val="009852A8"/>
    <w:rsid w:val="009867B2"/>
    <w:rsid w:val="00987B12"/>
    <w:rsid w:val="00990786"/>
    <w:rsid w:val="00990BB9"/>
    <w:rsid w:val="00992AC1"/>
    <w:rsid w:val="0099324E"/>
    <w:rsid w:val="009935F7"/>
    <w:rsid w:val="009938DC"/>
    <w:rsid w:val="009942B4"/>
    <w:rsid w:val="009944E8"/>
    <w:rsid w:val="00995AE6"/>
    <w:rsid w:val="00996B1A"/>
    <w:rsid w:val="00996EE8"/>
    <w:rsid w:val="009A1AFE"/>
    <w:rsid w:val="009A232B"/>
    <w:rsid w:val="009A2E12"/>
    <w:rsid w:val="009A415E"/>
    <w:rsid w:val="009A5F69"/>
    <w:rsid w:val="009A75CF"/>
    <w:rsid w:val="009A7EF4"/>
    <w:rsid w:val="009B0081"/>
    <w:rsid w:val="009B1306"/>
    <w:rsid w:val="009B1A4B"/>
    <w:rsid w:val="009B386C"/>
    <w:rsid w:val="009B3E7C"/>
    <w:rsid w:val="009B5566"/>
    <w:rsid w:val="009B562B"/>
    <w:rsid w:val="009B67E9"/>
    <w:rsid w:val="009B6A16"/>
    <w:rsid w:val="009B791F"/>
    <w:rsid w:val="009B7ECE"/>
    <w:rsid w:val="009B7F42"/>
    <w:rsid w:val="009C00BC"/>
    <w:rsid w:val="009C134D"/>
    <w:rsid w:val="009C2067"/>
    <w:rsid w:val="009C2719"/>
    <w:rsid w:val="009C2E0E"/>
    <w:rsid w:val="009C2F92"/>
    <w:rsid w:val="009C37E1"/>
    <w:rsid w:val="009C5B8E"/>
    <w:rsid w:val="009C63E5"/>
    <w:rsid w:val="009C697B"/>
    <w:rsid w:val="009C6F38"/>
    <w:rsid w:val="009C7CB7"/>
    <w:rsid w:val="009D100B"/>
    <w:rsid w:val="009D16F0"/>
    <w:rsid w:val="009D1978"/>
    <w:rsid w:val="009D1BBC"/>
    <w:rsid w:val="009D2C40"/>
    <w:rsid w:val="009D2D28"/>
    <w:rsid w:val="009D37D7"/>
    <w:rsid w:val="009D5266"/>
    <w:rsid w:val="009D5D7D"/>
    <w:rsid w:val="009D79DC"/>
    <w:rsid w:val="009D7F95"/>
    <w:rsid w:val="009E0BC4"/>
    <w:rsid w:val="009E15B0"/>
    <w:rsid w:val="009E15BC"/>
    <w:rsid w:val="009E1CFB"/>
    <w:rsid w:val="009E23C7"/>
    <w:rsid w:val="009E2A85"/>
    <w:rsid w:val="009E71A1"/>
    <w:rsid w:val="009F0C5E"/>
    <w:rsid w:val="009F2CFB"/>
    <w:rsid w:val="009F2FA3"/>
    <w:rsid w:val="009F3166"/>
    <w:rsid w:val="009F3305"/>
    <w:rsid w:val="009F33CC"/>
    <w:rsid w:val="009F3690"/>
    <w:rsid w:val="009F4494"/>
    <w:rsid w:val="009F541E"/>
    <w:rsid w:val="009F704A"/>
    <w:rsid w:val="009F7E69"/>
    <w:rsid w:val="00A0065F"/>
    <w:rsid w:val="00A006A5"/>
    <w:rsid w:val="00A009A9"/>
    <w:rsid w:val="00A0127B"/>
    <w:rsid w:val="00A023B0"/>
    <w:rsid w:val="00A02634"/>
    <w:rsid w:val="00A031B3"/>
    <w:rsid w:val="00A03E8B"/>
    <w:rsid w:val="00A042AA"/>
    <w:rsid w:val="00A04D01"/>
    <w:rsid w:val="00A0560D"/>
    <w:rsid w:val="00A06DD7"/>
    <w:rsid w:val="00A07545"/>
    <w:rsid w:val="00A10F71"/>
    <w:rsid w:val="00A13107"/>
    <w:rsid w:val="00A143D7"/>
    <w:rsid w:val="00A1456F"/>
    <w:rsid w:val="00A14B95"/>
    <w:rsid w:val="00A17418"/>
    <w:rsid w:val="00A17912"/>
    <w:rsid w:val="00A17988"/>
    <w:rsid w:val="00A20FFE"/>
    <w:rsid w:val="00A21AD1"/>
    <w:rsid w:val="00A223F8"/>
    <w:rsid w:val="00A22F65"/>
    <w:rsid w:val="00A23AB3"/>
    <w:rsid w:val="00A243CB"/>
    <w:rsid w:val="00A24615"/>
    <w:rsid w:val="00A246B4"/>
    <w:rsid w:val="00A2611A"/>
    <w:rsid w:val="00A26783"/>
    <w:rsid w:val="00A2770D"/>
    <w:rsid w:val="00A320AA"/>
    <w:rsid w:val="00A32391"/>
    <w:rsid w:val="00A33417"/>
    <w:rsid w:val="00A334B6"/>
    <w:rsid w:val="00A33F82"/>
    <w:rsid w:val="00A34274"/>
    <w:rsid w:val="00A344BD"/>
    <w:rsid w:val="00A371DF"/>
    <w:rsid w:val="00A400EF"/>
    <w:rsid w:val="00A40453"/>
    <w:rsid w:val="00A41E80"/>
    <w:rsid w:val="00A424B2"/>
    <w:rsid w:val="00A42FF2"/>
    <w:rsid w:val="00A43FF4"/>
    <w:rsid w:val="00A44492"/>
    <w:rsid w:val="00A444BC"/>
    <w:rsid w:val="00A44A23"/>
    <w:rsid w:val="00A44B3B"/>
    <w:rsid w:val="00A45201"/>
    <w:rsid w:val="00A46762"/>
    <w:rsid w:val="00A47680"/>
    <w:rsid w:val="00A520E3"/>
    <w:rsid w:val="00A52465"/>
    <w:rsid w:val="00A524BF"/>
    <w:rsid w:val="00A52AFD"/>
    <w:rsid w:val="00A53615"/>
    <w:rsid w:val="00A53D8A"/>
    <w:rsid w:val="00A54FA7"/>
    <w:rsid w:val="00A551D3"/>
    <w:rsid w:val="00A552F1"/>
    <w:rsid w:val="00A56152"/>
    <w:rsid w:val="00A56199"/>
    <w:rsid w:val="00A565B8"/>
    <w:rsid w:val="00A57C42"/>
    <w:rsid w:val="00A60DE2"/>
    <w:rsid w:val="00A61157"/>
    <w:rsid w:val="00A61158"/>
    <w:rsid w:val="00A615FF"/>
    <w:rsid w:val="00A62746"/>
    <w:rsid w:val="00A62E24"/>
    <w:rsid w:val="00A635A6"/>
    <w:rsid w:val="00A63B69"/>
    <w:rsid w:val="00A63D79"/>
    <w:rsid w:val="00A640F8"/>
    <w:rsid w:val="00A6599A"/>
    <w:rsid w:val="00A66630"/>
    <w:rsid w:val="00A67DCD"/>
    <w:rsid w:val="00A67ED0"/>
    <w:rsid w:val="00A7042A"/>
    <w:rsid w:val="00A70D34"/>
    <w:rsid w:val="00A7229A"/>
    <w:rsid w:val="00A72CBD"/>
    <w:rsid w:val="00A73211"/>
    <w:rsid w:val="00A73316"/>
    <w:rsid w:val="00A73786"/>
    <w:rsid w:val="00A73865"/>
    <w:rsid w:val="00A76EE6"/>
    <w:rsid w:val="00A7755C"/>
    <w:rsid w:val="00A77B7B"/>
    <w:rsid w:val="00A816E7"/>
    <w:rsid w:val="00A81B95"/>
    <w:rsid w:val="00A81E61"/>
    <w:rsid w:val="00A81F74"/>
    <w:rsid w:val="00A8356B"/>
    <w:rsid w:val="00A83C69"/>
    <w:rsid w:val="00A84991"/>
    <w:rsid w:val="00A85467"/>
    <w:rsid w:val="00A86778"/>
    <w:rsid w:val="00A86FB0"/>
    <w:rsid w:val="00A8747C"/>
    <w:rsid w:val="00A91301"/>
    <w:rsid w:val="00A9169B"/>
    <w:rsid w:val="00A9269D"/>
    <w:rsid w:val="00A92717"/>
    <w:rsid w:val="00A9482C"/>
    <w:rsid w:val="00A9570F"/>
    <w:rsid w:val="00A9598F"/>
    <w:rsid w:val="00A95DC4"/>
    <w:rsid w:val="00AA0293"/>
    <w:rsid w:val="00AA0368"/>
    <w:rsid w:val="00AA126D"/>
    <w:rsid w:val="00AA1F00"/>
    <w:rsid w:val="00AA23D5"/>
    <w:rsid w:val="00AA2A7C"/>
    <w:rsid w:val="00AA2B4E"/>
    <w:rsid w:val="00AA3FA0"/>
    <w:rsid w:val="00AA490C"/>
    <w:rsid w:val="00AA5033"/>
    <w:rsid w:val="00AA55EB"/>
    <w:rsid w:val="00AA5F71"/>
    <w:rsid w:val="00AA6026"/>
    <w:rsid w:val="00AA623E"/>
    <w:rsid w:val="00AA6865"/>
    <w:rsid w:val="00AA6E48"/>
    <w:rsid w:val="00AA7D77"/>
    <w:rsid w:val="00AB03BE"/>
    <w:rsid w:val="00AB168E"/>
    <w:rsid w:val="00AB270D"/>
    <w:rsid w:val="00AB277B"/>
    <w:rsid w:val="00AB2DA1"/>
    <w:rsid w:val="00AB3407"/>
    <w:rsid w:val="00AB37E1"/>
    <w:rsid w:val="00AB40F7"/>
    <w:rsid w:val="00AB4101"/>
    <w:rsid w:val="00AB4FDD"/>
    <w:rsid w:val="00AB5089"/>
    <w:rsid w:val="00AB7C2D"/>
    <w:rsid w:val="00AC1EC7"/>
    <w:rsid w:val="00AC22B9"/>
    <w:rsid w:val="00AC4467"/>
    <w:rsid w:val="00AC4D12"/>
    <w:rsid w:val="00AC64C7"/>
    <w:rsid w:val="00AC7040"/>
    <w:rsid w:val="00AC7074"/>
    <w:rsid w:val="00AC70E8"/>
    <w:rsid w:val="00AC7376"/>
    <w:rsid w:val="00AC7931"/>
    <w:rsid w:val="00AC7B8C"/>
    <w:rsid w:val="00AC7BAC"/>
    <w:rsid w:val="00AD0177"/>
    <w:rsid w:val="00AD0E85"/>
    <w:rsid w:val="00AD1042"/>
    <w:rsid w:val="00AD189B"/>
    <w:rsid w:val="00AD1E5F"/>
    <w:rsid w:val="00AD221B"/>
    <w:rsid w:val="00AD2D95"/>
    <w:rsid w:val="00AD2E8F"/>
    <w:rsid w:val="00AD4135"/>
    <w:rsid w:val="00AD4247"/>
    <w:rsid w:val="00AD4B37"/>
    <w:rsid w:val="00AD4DB9"/>
    <w:rsid w:val="00AD5D1B"/>
    <w:rsid w:val="00AD6742"/>
    <w:rsid w:val="00AE20DC"/>
    <w:rsid w:val="00AE2D0B"/>
    <w:rsid w:val="00AE3007"/>
    <w:rsid w:val="00AE385A"/>
    <w:rsid w:val="00AE3DE1"/>
    <w:rsid w:val="00AE54A5"/>
    <w:rsid w:val="00AE6055"/>
    <w:rsid w:val="00AE6D45"/>
    <w:rsid w:val="00AE7B98"/>
    <w:rsid w:val="00AF05DB"/>
    <w:rsid w:val="00AF0C70"/>
    <w:rsid w:val="00AF339B"/>
    <w:rsid w:val="00AF46EC"/>
    <w:rsid w:val="00AF59B5"/>
    <w:rsid w:val="00AF5D1E"/>
    <w:rsid w:val="00AF5E91"/>
    <w:rsid w:val="00AF613E"/>
    <w:rsid w:val="00AF6397"/>
    <w:rsid w:val="00AF774B"/>
    <w:rsid w:val="00B0037C"/>
    <w:rsid w:val="00B00E04"/>
    <w:rsid w:val="00B01B1C"/>
    <w:rsid w:val="00B01DDF"/>
    <w:rsid w:val="00B02CF3"/>
    <w:rsid w:val="00B02D1B"/>
    <w:rsid w:val="00B04A1E"/>
    <w:rsid w:val="00B05B0D"/>
    <w:rsid w:val="00B071ED"/>
    <w:rsid w:val="00B07B2B"/>
    <w:rsid w:val="00B07ECD"/>
    <w:rsid w:val="00B101CD"/>
    <w:rsid w:val="00B125A1"/>
    <w:rsid w:val="00B1260F"/>
    <w:rsid w:val="00B20269"/>
    <w:rsid w:val="00B2041A"/>
    <w:rsid w:val="00B2043C"/>
    <w:rsid w:val="00B2192B"/>
    <w:rsid w:val="00B2253B"/>
    <w:rsid w:val="00B22C94"/>
    <w:rsid w:val="00B22F8C"/>
    <w:rsid w:val="00B22FA8"/>
    <w:rsid w:val="00B2397F"/>
    <w:rsid w:val="00B23C47"/>
    <w:rsid w:val="00B24934"/>
    <w:rsid w:val="00B26727"/>
    <w:rsid w:val="00B30290"/>
    <w:rsid w:val="00B30586"/>
    <w:rsid w:val="00B3191B"/>
    <w:rsid w:val="00B32590"/>
    <w:rsid w:val="00B327C2"/>
    <w:rsid w:val="00B33E9B"/>
    <w:rsid w:val="00B34B1C"/>
    <w:rsid w:val="00B36441"/>
    <w:rsid w:val="00B3658A"/>
    <w:rsid w:val="00B36F61"/>
    <w:rsid w:val="00B40726"/>
    <w:rsid w:val="00B422C6"/>
    <w:rsid w:val="00B428F7"/>
    <w:rsid w:val="00B42CCF"/>
    <w:rsid w:val="00B43806"/>
    <w:rsid w:val="00B44FA4"/>
    <w:rsid w:val="00B4505B"/>
    <w:rsid w:val="00B501C1"/>
    <w:rsid w:val="00B5106D"/>
    <w:rsid w:val="00B51F25"/>
    <w:rsid w:val="00B52BE0"/>
    <w:rsid w:val="00B53776"/>
    <w:rsid w:val="00B53874"/>
    <w:rsid w:val="00B5389E"/>
    <w:rsid w:val="00B5494E"/>
    <w:rsid w:val="00B55376"/>
    <w:rsid w:val="00B555A9"/>
    <w:rsid w:val="00B60AEE"/>
    <w:rsid w:val="00B6344A"/>
    <w:rsid w:val="00B6359D"/>
    <w:rsid w:val="00B65ED9"/>
    <w:rsid w:val="00B66C01"/>
    <w:rsid w:val="00B67B6D"/>
    <w:rsid w:val="00B70E1E"/>
    <w:rsid w:val="00B70EE8"/>
    <w:rsid w:val="00B716EB"/>
    <w:rsid w:val="00B7192E"/>
    <w:rsid w:val="00B71A2C"/>
    <w:rsid w:val="00B71B8B"/>
    <w:rsid w:val="00B71C4F"/>
    <w:rsid w:val="00B7218C"/>
    <w:rsid w:val="00B72B01"/>
    <w:rsid w:val="00B72CD0"/>
    <w:rsid w:val="00B72F33"/>
    <w:rsid w:val="00B734CB"/>
    <w:rsid w:val="00B73FB4"/>
    <w:rsid w:val="00B75A8A"/>
    <w:rsid w:val="00B7661C"/>
    <w:rsid w:val="00B772CC"/>
    <w:rsid w:val="00B77A3E"/>
    <w:rsid w:val="00B77B39"/>
    <w:rsid w:val="00B803CD"/>
    <w:rsid w:val="00B80B01"/>
    <w:rsid w:val="00B81117"/>
    <w:rsid w:val="00B81841"/>
    <w:rsid w:val="00B822B8"/>
    <w:rsid w:val="00B83AAE"/>
    <w:rsid w:val="00B85342"/>
    <w:rsid w:val="00B86511"/>
    <w:rsid w:val="00B9069D"/>
    <w:rsid w:val="00B9294B"/>
    <w:rsid w:val="00B92E19"/>
    <w:rsid w:val="00B93D35"/>
    <w:rsid w:val="00B949C9"/>
    <w:rsid w:val="00B94A73"/>
    <w:rsid w:val="00B94D44"/>
    <w:rsid w:val="00B9623F"/>
    <w:rsid w:val="00B97973"/>
    <w:rsid w:val="00BA137C"/>
    <w:rsid w:val="00BA29D5"/>
    <w:rsid w:val="00BA411A"/>
    <w:rsid w:val="00BA5158"/>
    <w:rsid w:val="00BA59DD"/>
    <w:rsid w:val="00BB0AC5"/>
    <w:rsid w:val="00BB1165"/>
    <w:rsid w:val="00BB24E4"/>
    <w:rsid w:val="00BB266A"/>
    <w:rsid w:val="00BB3327"/>
    <w:rsid w:val="00BB3D19"/>
    <w:rsid w:val="00BC2C9E"/>
    <w:rsid w:val="00BC3CBB"/>
    <w:rsid w:val="00BC4148"/>
    <w:rsid w:val="00BC479C"/>
    <w:rsid w:val="00BC5A9A"/>
    <w:rsid w:val="00BC5D51"/>
    <w:rsid w:val="00BC6A04"/>
    <w:rsid w:val="00BC7212"/>
    <w:rsid w:val="00BD0548"/>
    <w:rsid w:val="00BD1603"/>
    <w:rsid w:val="00BD4F8F"/>
    <w:rsid w:val="00BD57CD"/>
    <w:rsid w:val="00BD598E"/>
    <w:rsid w:val="00BD5AC2"/>
    <w:rsid w:val="00BD5CE9"/>
    <w:rsid w:val="00BD6176"/>
    <w:rsid w:val="00BD6AAF"/>
    <w:rsid w:val="00BD6C64"/>
    <w:rsid w:val="00BD6D3E"/>
    <w:rsid w:val="00BD6FF1"/>
    <w:rsid w:val="00BD79AB"/>
    <w:rsid w:val="00BD7AF1"/>
    <w:rsid w:val="00BD7D73"/>
    <w:rsid w:val="00BD7EA3"/>
    <w:rsid w:val="00BE0038"/>
    <w:rsid w:val="00BE017F"/>
    <w:rsid w:val="00BE082E"/>
    <w:rsid w:val="00BE1156"/>
    <w:rsid w:val="00BE137C"/>
    <w:rsid w:val="00BE2433"/>
    <w:rsid w:val="00BE25A0"/>
    <w:rsid w:val="00BE3757"/>
    <w:rsid w:val="00BE4119"/>
    <w:rsid w:val="00BE52C6"/>
    <w:rsid w:val="00BE554B"/>
    <w:rsid w:val="00BE7243"/>
    <w:rsid w:val="00BF0A0A"/>
    <w:rsid w:val="00BF1B09"/>
    <w:rsid w:val="00BF32F4"/>
    <w:rsid w:val="00BF5206"/>
    <w:rsid w:val="00BF5D41"/>
    <w:rsid w:val="00BF63E5"/>
    <w:rsid w:val="00BF697F"/>
    <w:rsid w:val="00C00013"/>
    <w:rsid w:val="00C00D91"/>
    <w:rsid w:val="00C00DFA"/>
    <w:rsid w:val="00C01B13"/>
    <w:rsid w:val="00C01FE0"/>
    <w:rsid w:val="00C02FEC"/>
    <w:rsid w:val="00C03272"/>
    <w:rsid w:val="00C0401D"/>
    <w:rsid w:val="00C05932"/>
    <w:rsid w:val="00C05D58"/>
    <w:rsid w:val="00C06C06"/>
    <w:rsid w:val="00C07392"/>
    <w:rsid w:val="00C10D8B"/>
    <w:rsid w:val="00C1121A"/>
    <w:rsid w:val="00C12E69"/>
    <w:rsid w:val="00C14BB0"/>
    <w:rsid w:val="00C14D49"/>
    <w:rsid w:val="00C15209"/>
    <w:rsid w:val="00C154E1"/>
    <w:rsid w:val="00C162D7"/>
    <w:rsid w:val="00C2030D"/>
    <w:rsid w:val="00C2068F"/>
    <w:rsid w:val="00C22580"/>
    <w:rsid w:val="00C2339F"/>
    <w:rsid w:val="00C23D87"/>
    <w:rsid w:val="00C24030"/>
    <w:rsid w:val="00C241C8"/>
    <w:rsid w:val="00C25B8F"/>
    <w:rsid w:val="00C26442"/>
    <w:rsid w:val="00C26D63"/>
    <w:rsid w:val="00C27676"/>
    <w:rsid w:val="00C30594"/>
    <w:rsid w:val="00C307FE"/>
    <w:rsid w:val="00C31C9F"/>
    <w:rsid w:val="00C33402"/>
    <w:rsid w:val="00C33B28"/>
    <w:rsid w:val="00C35937"/>
    <w:rsid w:val="00C36931"/>
    <w:rsid w:val="00C37624"/>
    <w:rsid w:val="00C403C8"/>
    <w:rsid w:val="00C40CD5"/>
    <w:rsid w:val="00C422DC"/>
    <w:rsid w:val="00C430F2"/>
    <w:rsid w:val="00C43481"/>
    <w:rsid w:val="00C43AB9"/>
    <w:rsid w:val="00C43E79"/>
    <w:rsid w:val="00C44755"/>
    <w:rsid w:val="00C45CA4"/>
    <w:rsid w:val="00C46748"/>
    <w:rsid w:val="00C468D2"/>
    <w:rsid w:val="00C46BEE"/>
    <w:rsid w:val="00C479E7"/>
    <w:rsid w:val="00C500DC"/>
    <w:rsid w:val="00C50965"/>
    <w:rsid w:val="00C5103C"/>
    <w:rsid w:val="00C516E8"/>
    <w:rsid w:val="00C518D5"/>
    <w:rsid w:val="00C53BC9"/>
    <w:rsid w:val="00C5470B"/>
    <w:rsid w:val="00C56A8F"/>
    <w:rsid w:val="00C56D96"/>
    <w:rsid w:val="00C576C3"/>
    <w:rsid w:val="00C57CBE"/>
    <w:rsid w:val="00C60A36"/>
    <w:rsid w:val="00C6123A"/>
    <w:rsid w:val="00C61317"/>
    <w:rsid w:val="00C61F41"/>
    <w:rsid w:val="00C6254E"/>
    <w:rsid w:val="00C63939"/>
    <w:rsid w:val="00C63E7C"/>
    <w:rsid w:val="00C6459F"/>
    <w:rsid w:val="00C646AE"/>
    <w:rsid w:val="00C65047"/>
    <w:rsid w:val="00C66518"/>
    <w:rsid w:val="00C66645"/>
    <w:rsid w:val="00C66C52"/>
    <w:rsid w:val="00C67D3E"/>
    <w:rsid w:val="00C70039"/>
    <w:rsid w:val="00C70847"/>
    <w:rsid w:val="00C7209A"/>
    <w:rsid w:val="00C74A9C"/>
    <w:rsid w:val="00C74F0B"/>
    <w:rsid w:val="00C750CC"/>
    <w:rsid w:val="00C75662"/>
    <w:rsid w:val="00C769A4"/>
    <w:rsid w:val="00C76DE0"/>
    <w:rsid w:val="00C77216"/>
    <w:rsid w:val="00C77B31"/>
    <w:rsid w:val="00C77F6B"/>
    <w:rsid w:val="00C804EA"/>
    <w:rsid w:val="00C807AB"/>
    <w:rsid w:val="00C81324"/>
    <w:rsid w:val="00C820CA"/>
    <w:rsid w:val="00C82E93"/>
    <w:rsid w:val="00C83424"/>
    <w:rsid w:val="00C83430"/>
    <w:rsid w:val="00C8373D"/>
    <w:rsid w:val="00C83FAC"/>
    <w:rsid w:val="00C84BC4"/>
    <w:rsid w:val="00C84DD3"/>
    <w:rsid w:val="00C85332"/>
    <w:rsid w:val="00C85659"/>
    <w:rsid w:val="00C85A2C"/>
    <w:rsid w:val="00C85CD2"/>
    <w:rsid w:val="00C85CDE"/>
    <w:rsid w:val="00C860F9"/>
    <w:rsid w:val="00C86C42"/>
    <w:rsid w:val="00C87641"/>
    <w:rsid w:val="00C90D5F"/>
    <w:rsid w:val="00C91A8E"/>
    <w:rsid w:val="00C926FB"/>
    <w:rsid w:val="00C93F32"/>
    <w:rsid w:val="00C94ABA"/>
    <w:rsid w:val="00C9601F"/>
    <w:rsid w:val="00C969E4"/>
    <w:rsid w:val="00C97417"/>
    <w:rsid w:val="00C97E2B"/>
    <w:rsid w:val="00CA049C"/>
    <w:rsid w:val="00CA09C0"/>
    <w:rsid w:val="00CA10B0"/>
    <w:rsid w:val="00CA1DB2"/>
    <w:rsid w:val="00CA23FC"/>
    <w:rsid w:val="00CA2E24"/>
    <w:rsid w:val="00CA38ED"/>
    <w:rsid w:val="00CA416F"/>
    <w:rsid w:val="00CA5873"/>
    <w:rsid w:val="00CA64DA"/>
    <w:rsid w:val="00CA6745"/>
    <w:rsid w:val="00CA755E"/>
    <w:rsid w:val="00CA7FED"/>
    <w:rsid w:val="00CB129F"/>
    <w:rsid w:val="00CB24B3"/>
    <w:rsid w:val="00CB2D28"/>
    <w:rsid w:val="00CB46A1"/>
    <w:rsid w:val="00CB4D32"/>
    <w:rsid w:val="00CB59E6"/>
    <w:rsid w:val="00CB76D4"/>
    <w:rsid w:val="00CC0984"/>
    <w:rsid w:val="00CC10A3"/>
    <w:rsid w:val="00CC5ED5"/>
    <w:rsid w:val="00CC6114"/>
    <w:rsid w:val="00CC7462"/>
    <w:rsid w:val="00CC7C11"/>
    <w:rsid w:val="00CD066E"/>
    <w:rsid w:val="00CD0B5D"/>
    <w:rsid w:val="00CD1FB0"/>
    <w:rsid w:val="00CD2375"/>
    <w:rsid w:val="00CD358C"/>
    <w:rsid w:val="00CD37C5"/>
    <w:rsid w:val="00CD4149"/>
    <w:rsid w:val="00CD41E2"/>
    <w:rsid w:val="00CD4C5F"/>
    <w:rsid w:val="00CD6680"/>
    <w:rsid w:val="00CD669B"/>
    <w:rsid w:val="00CD7061"/>
    <w:rsid w:val="00CE4072"/>
    <w:rsid w:val="00CE48D5"/>
    <w:rsid w:val="00CE4D10"/>
    <w:rsid w:val="00CE4E14"/>
    <w:rsid w:val="00CE506B"/>
    <w:rsid w:val="00CE5E43"/>
    <w:rsid w:val="00CE6A7E"/>
    <w:rsid w:val="00CE6B88"/>
    <w:rsid w:val="00CE6E0E"/>
    <w:rsid w:val="00CE7038"/>
    <w:rsid w:val="00CE73AC"/>
    <w:rsid w:val="00CF175D"/>
    <w:rsid w:val="00CF3265"/>
    <w:rsid w:val="00CF3D3E"/>
    <w:rsid w:val="00CF730F"/>
    <w:rsid w:val="00CF78A3"/>
    <w:rsid w:val="00CF78BE"/>
    <w:rsid w:val="00D005A6"/>
    <w:rsid w:val="00D01003"/>
    <w:rsid w:val="00D03DE3"/>
    <w:rsid w:val="00D04192"/>
    <w:rsid w:val="00D044A7"/>
    <w:rsid w:val="00D05CD5"/>
    <w:rsid w:val="00D06B6D"/>
    <w:rsid w:val="00D07BCC"/>
    <w:rsid w:val="00D11154"/>
    <w:rsid w:val="00D1283B"/>
    <w:rsid w:val="00D13093"/>
    <w:rsid w:val="00D14841"/>
    <w:rsid w:val="00D14923"/>
    <w:rsid w:val="00D1655C"/>
    <w:rsid w:val="00D16A0E"/>
    <w:rsid w:val="00D16D25"/>
    <w:rsid w:val="00D16D90"/>
    <w:rsid w:val="00D17FA4"/>
    <w:rsid w:val="00D20DFF"/>
    <w:rsid w:val="00D21414"/>
    <w:rsid w:val="00D22072"/>
    <w:rsid w:val="00D232AB"/>
    <w:rsid w:val="00D23406"/>
    <w:rsid w:val="00D23944"/>
    <w:rsid w:val="00D23B76"/>
    <w:rsid w:val="00D23BA5"/>
    <w:rsid w:val="00D23EDB"/>
    <w:rsid w:val="00D25263"/>
    <w:rsid w:val="00D30198"/>
    <w:rsid w:val="00D32606"/>
    <w:rsid w:val="00D328C0"/>
    <w:rsid w:val="00D34106"/>
    <w:rsid w:val="00D347E2"/>
    <w:rsid w:val="00D34C29"/>
    <w:rsid w:val="00D35BBD"/>
    <w:rsid w:val="00D36889"/>
    <w:rsid w:val="00D37AFA"/>
    <w:rsid w:val="00D37D99"/>
    <w:rsid w:val="00D37E9B"/>
    <w:rsid w:val="00D40020"/>
    <w:rsid w:val="00D41B5D"/>
    <w:rsid w:val="00D4228A"/>
    <w:rsid w:val="00D425E0"/>
    <w:rsid w:val="00D42C9A"/>
    <w:rsid w:val="00D436C7"/>
    <w:rsid w:val="00D43A48"/>
    <w:rsid w:val="00D448A2"/>
    <w:rsid w:val="00D459E2"/>
    <w:rsid w:val="00D479CE"/>
    <w:rsid w:val="00D47D76"/>
    <w:rsid w:val="00D50FB0"/>
    <w:rsid w:val="00D52BD8"/>
    <w:rsid w:val="00D54FCF"/>
    <w:rsid w:val="00D55A61"/>
    <w:rsid w:val="00D57525"/>
    <w:rsid w:val="00D57F87"/>
    <w:rsid w:val="00D6080D"/>
    <w:rsid w:val="00D62094"/>
    <w:rsid w:val="00D62607"/>
    <w:rsid w:val="00D62C60"/>
    <w:rsid w:val="00D637FD"/>
    <w:rsid w:val="00D6409A"/>
    <w:rsid w:val="00D65528"/>
    <w:rsid w:val="00D659B1"/>
    <w:rsid w:val="00D65AE8"/>
    <w:rsid w:val="00D65E94"/>
    <w:rsid w:val="00D664C6"/>
    <w:rsid w:val="00D666B2"/>
    <w:rsid w:val="00D670F7"/>
    <w:rsid w:val="00D67497"/>
    <w:rsid w:val="00D67933"/>
    <w:rsid w:val="00D70F00"/>
    <w:rsid w:val="00D712A5"/>
    <w:rsid w:val="00D7142A"/>
    <w:rsid w:val="00D71742"/>
    <w:rsid w:val="00D72210"/>
    <w:rsid w:val="00D72406"/>
    <w:rsid w:val="00D7490D"/>
    <w:rsid w:val="00D74914"/>
    <w:rsid w:val="00D75E8C"/>
    <w:rsid w:val="00D76E2A"/>
    <w:rsid w:val="00D77165"/>
    <w:rsid w:val="00D774C0"/>
    <w:rsid w:val="00D823AC"/>
    <w:rsid w:val="00D83462"/>
    <w:rsid w:val="00D86D1D"/>
    <w:rsid w:val="00D87A4B"/>
    <w:rsid w:val="00D90754"/>
    <w:rsid w:val="00D90897"/>
    <w:rsid w:val="00D910AE"/>
    <w:rsid w:val="00D91277"/>
    <w:rsid w:val="00D91FE4"/>
    <w:rsid w:val="00D928EE"/>
    <w:rsid w:val="00D92903"/>
    <w:rsid w:val="00D9380D"/>
    <w:rsid w:val="00D950BC"/>
    <w:rsid w:val="00D95B2C"/>
    <w:rsid w:val="00D96605"/>
    <w:rsid w:val="00D974C4"/>
    <w:rsid w:val="00D97E50"/>
    <w:rsid w:val="00DA08A4"/>
    <w:rsid w:val="00DA0A1E"/>
    <w:rsid w:val="00DA19CD"/>
    <w:rsid w:val="00DA21AB"/>
    <w:rsid w:val="00DA25A5"/>
    <w:rsid w:val="00DA29F9"/>
    <w:rsid w:val="00DA4B05"/>
    <w:rsid w:val="00DA4C23"/>
    <w:rsid w:val="00DA592C"/>
    <w:rsid w:val="00DA6842"/>
    <w:rsid w:val="00DA686D"/>
    <w:rsid w:val="00DA73BD"/>
    <w:rsid w:val="00DA7C05"/>
    <w:rsid w:val="00DA7DB5"/>
    <w:rsid w:val="00DA7FE0"/>
    <w:rsid w:val="00DB120E"/>
    <w:rsid w:val="00DB2EFC"/>
    <w:rsid w:val="00DB3BBC"/>
    <w:rsid w:val="00DB4C72"/>
    <w:rsid w:val="00DB4D9B"/>
    <w:rsid w:val="00DB4F92"/>
    <w:rsid w:val="00DB63BE"/>
    <w:rsid w:val="00DB679B"/>
    <w:rsid w:val="00DB7372"/>
    <w:rsid w:val="00DB7491"/>
    <w:rsid w:val="00DB7B0E"/>
    <w:rsid w:val="00DC025C"/>
    <w:rsid w:val="00DC285C"/>
    <w:rsid w:val="00DC29D4"/>
    <w:rsid w:val="00DC2AD7"/>
    <w:rsid w:val="00DC2DD8"/>
    <w:rsid w:val="00DC346F"/>
    <w:rsid w:val="00DC4B27"/>
    <w:rsid w:val="00DC4EB6"/>
    <w:rsid w:val="00DC5801"/>
    <w:rsid w:val="00DC5E88"/>
    <w:rsid w:val="00DC61CB"/>
    <w:rsid w:val="00DC68A1"/>
    <w:rsid w:val="00DD064D"/>
    <w:rsid w:val="00DD14B6"/>
    <w:rsid w:val="00DD166E"/>
    <w:rsid w:val="00DD1B07"/>
    <w:rsid w:val="00DD2606"/>
    <w:rsid w:val="00DD5797"/>
    <w:rsid w:val="00DD5DC7"/>
    <w:rsid w:val="00DD69BC"/>
    <w:rsid w:val="00DE05EF"/>
    <w:rsid w:val="00DE07ED"/>
    <w:rsid w:val="00DE0AC8"/>
    <w:rsid w:val="00DE1E54"/>
    <w:rsid w:val="00DE20FD"/>
    <w:rsid w:val="00DE3428"/>
    <w:rsid w:val="00DE4FAB"/>
    <w:rsid w:val="00DE598F"/>
    <w:rsid w:val="00DE6127"/>
    <w:rsid w:val="00DE689D"/>
    <w:rsid w:val="00DE7B6C"/>
    <w:rsid w:val="00DF03F0"/>
    <w:rsid w:val="00DF0B88"/>
    <w:rsid w:val="00DF1003"/>
    <w:rsid w:val="00DF120D"/>
    <w:rsid w:val="00DF3E1B"/>
    <w:rsid w:val="00DF43A5"/>
    <w:rsid w:val="00DF5550"/>
    <w:rsid w:val="00DF5B62"/>
    <w:rsid w:val="00E0126D"/>
    <w:rsid w:val="00E01AAB"/>
    <w:rsid w:val="00E0236B"/>
    <w:rsid w:val="00E0237F"/>
    <w:rsid w:val="00E026E8"/>
    <w:rsid w:val="00E03117"/>
    <w:rsid w:val="00E0323F"/>
    <w:rsid w:val="00E034D8"/>
    <w:rsid w:val="00E039B6"/>
    <w:rsid w:val="00E04E9D"/>
    <w:rsid w:val="00E05433"/>
    <w:rsid w:val="00E055F5"/>
    <w:rsid w:val="00E06914"/>
    <w:rsid w:val="00E06D15"/>
    <w:rsid w:val="00E07F35"/>
    <w:rsid w:val="00E104F4"/>
    <w:rsid w:val="00E10862"/>
    <w:rsid w:val="00E11A31"/>
    <w:rsid w:val="00E12398"/>
    <w:rsid w:val="00E13189"/>
    <w:rsid w:val="00E13689"/>
    <w:rsid w:val="00E1456D"/>
    <w:rsid w:val="00E16239"/>
    <w:rsid w:val="00E20087"/>
    <w:rsid w:val="00E20556"/>
    <w:rsid w:val="00E20AF7"/>
    <w:rsid w:val="00E2182C"/>
    <w:rsid w:val="00E21D7B"/>
    <w:rsid w:val="00E223AC"/>
    <w:rsid w:val="00E24147"/>
    <w:rsid w:val="00E25A9E"/>
    <w:rsid w:val="00E2695D"/>
    <w:rsid w:val="00E272AF"/>
    <w:rsid w:val="00E30748"/>
    <w:rsid w:val="00E3140D"/>
    <w:rsid w:val="00E31A9A"/>
    <w:rsid w:val="00E31A9B"/>
    <w:rsid w:val="00E33E62"/>
    <w:rsid w:val="00E34788"/>
    <w:rsid w:val="00E34FA0"/>
    <w:rsid w:val="00E36BBD"/>
    <w:rsid w:val="00E370B0"/>
    <w:rsid w:val="00E37CD5"/>
    <w:rsid w:val="00E400DB"/>
    <w:rsid w:val="00E4061E"/>
    <w:rsid w:val="00E40CB4"/>
    <w:rsid w:val="00E41D5B"/>
    <w:rsid w:val="00E42B21"/>
    <w:rsid w:val="00E4300D"/>
    <w:rsid w:val="00E4344F"/>
    <w:rsid w:val="00E434D9"/>
    <w:rsid w:val="00E4442F"/>
    <w:rsid w:val="00E445B0"/>
    <w:rsid w:val="00E44B90"/>
    <w:rsid w:val="00E4781A"/>
    <w:rsid w:val="00E479D8"/>
    <w:rsid w:val="00E47CB0"/>
    <w:rsid w:val="00E5094A"/>
    <w:rsid w:val="00E51566"/>
    <w:rsid w:val="00E51DBC"/>
    <w:rsid w:val="00E525E4"/>
    <w:rsid w:val="00E53873"/>
    <w:rsid w:val="00E54B1D"/>
    <w:rsid w:val="00E562F9"/>
    <w:rsid w:val="00E56773"/>
    <w:rsid w:val="00E56B4B"/>
    <w:rsid w:val="00E57E29"/>
    <w:rsid w:val="00E60EDE"/>
    <w:rsid w:val="00E614B6"/>
    <w:rsid w:val="00E61626"/>
    <w:rsid w:val="00E6260C"/>
    <w:rsid w:val="00E62E75"/>
    <w:rsid w:val="00E63222"/>
    <w:rsid w:val="00E63350"/>
    <w:rsid w:val="00E63E3B"/>
    <w:rsid w:val="00E6557C"/>
    <w:rsid w:val="00E656DE"/>
    <w:rsid w:val="00E65C34"/>
    <w:rsid w:val="00E703D1"/>
    <w:rsid w:val="00E70ED6"/>
    <w:rsid w:val="00E7125F"/>
    <w:rsid w:val="00E724D1"/>
    <w:rsid w:val="00E72DA8"/>
    <w:rsid w:val="00E73957"/>
    <w:rsid w:val="00E741BD"/>
    <w:rsid w:val="00E74BA3"/>
    <w:rsid w:val="00E7667B"/>
    <w:rsid w:val="00E76AE9"/>
    <w:rsid w:val="00E776F8"/>
    <w:rsid w:val="00E82366"/>
    <w:rsid w:val="00E83294"/>
    <w:rsid w:val="00E83307"/>
    <w:rsid w:val="00E83678"/>
    <w:rsid w:val="00E842AF"/>
    <w:rsid w:val="00E84621"/>
    <w:rsid w:val="00E85A78"/>
    <w:rsid w:val="00E872C5"/>
    <w:rsid w:val="00E873D8"/>
    <w:rsid w:val="00E92216"/>
    <w:rsid w:val="00E9228A"/>
    <w:rsid w:val="00E95D1C"/>
    <w:rsid w:val="00E973BD"/>
    <w:rsid w:val="00E97555"/>
    <w:rsid w:val="00EA0DE4"/>
    <w:rsid w:val="00EA0F56"/>
    <w:rsid w:val="00EA147A"/>
    <w:rsid w:val="00EA1693"/>
    <w:rsid w:val="00EA17A0"/>
    <w:rsid w:val="00EA1FE0"/>
    <w:rsid w:val="00EA212E"/>
    <w:rsid w:val="00EA234F"/>
    <w:rsid w:val="00EA32F2"/>
    <w:rsid w:val="00EA3A0A"/>
    <w:rsid w:val="00EA3C3F"/>
    <w:rsid w:val="00EA425E"/>
    <w:rsid w:val="00EA4552"/>
    <w:rsid w:val="00EA4B6B"/>
    <w:rsid w:val="00EA4E1F"/>
    <w:rsid w:val="00EA5D1C"/>
    <w:rsid w:val="00EA60D3"/>
    <w:rsid w:val="00EA67A4"/>
    <w:rsid w:val="00EA7D07"/>
    <w:rsid w:val="00EB02EF"/>
    <w:rsid w:val="00EB0949"/>
    <w:rsid w:val="00EB17EF"/>
    <w:rsid w:val="00EB1DA8"/>
    <w:rsid w:val="00EB1DF1"/>
    <w:rsid w:val="00EB27B0"/>
    <w:rsid w:val="00EB2C24"/>
    <w:rsid w:val="00EB5D95"/>
    <w:rsid w:val="00EB6205"/>
    <w:rsid w:val="00EB7342"/>
    <w:rsid w:val="00EB7904"/>
    <w:rsid w:val="00EB7D88"/>
    <w:rsid w:val="00EC0D38"/>
    <w:rsid w:val="00EC1983"/>
    <w:rsid w:val="00EC50C8"/>
    <w:rsid w:val="00EC63FC"/>
    <w:rsid w:val="00EC6C93"/>
    <w:rsid w:val="00EC7243"/>
    <w:rsid w:val="00ED090C"/>
    <w:rsid w:val="00ED18BA"/>
    <w:rsid w:val="00ED324A"/>
    <w:rsid w:val="00ED3E8A"/>
    <w:rsid w:val="00ED4DF4"/>
    <w:rsid w:val="00ED5151"/>
    <w:rsid w:val="00ED53CE"/>
    <w:rsid w:val="00ED6223"/>
    <w:rsid w:val="00ED72E5"/>
    <w:rsid w:val="00ED7937"/>
    <w:rsid w:val="00ED7D25"/>
    <w:rsid w:val="00EE23C7"/>
    <w:rsid w:val="00EE38D6"/>
    <w:rsid w:val="00EE4159"/>
    <w:rsid w:val="00EE4744"/>
    <w:rsid w:val="00EE53AA"/>
    <w:rsid w:val="00EE561D"/>
    <w:rsid w:val="00EE6641"/>
    <w:rsid w:val="00EE6742"/>
    <w:rsid w:val="00EE6BCE"/>
    <w:rsid w:val="00EE7F98"/>
    <w:rsid w:val="00EF28B2"/>
    <w:rsid w:val="00EF2CDC"/>
    <w:rsid w:val="00EF313A"/>
    <w:rsid w:val="00EF4CC5"/>
    <w:rsid w:val="00EF58B5"/>
    <w:rsid w:val="00EF6289"/>
    <w:rsid w:val="00EF7532"/>
    <w:rsid w:val="00F02233"/>
    <w:rsid w:val="00F02911"/>
    <w:rsid w:val="00F03B35"/>
    <w:rsid w:val="00F03F31"/>
    <w:rsid w:val="00F0594B"/>
    <w:rsid w:val="00F0722E"/>
    <w:rsid w:val="00F0752F"/>
    <w:rsid w:val="00F07D4F"/>
    <w:rsid w:val="00F07F3B"/>
    <w:rsid w:val="00F101F4"/>
    <w:rsid w:val="00F10894"/>
    <w:rsid w:val="00F110FB"/>
    <w:rsid w:val="00F14A1C"/>
    <w:rsid w:val="00F15E5F"/>
    <w:rsid w:val="00F16079"/>
    <w:rsid w:val="00F16B38"/>
    <w:rsid w:val="00F17406"/>
    <w:rsid w:val="00F174DD"/>
    <w:rsid w:val="00F17BE5"/>
    <w:rsid w:val="00F223C0"/>
    <w:rsid w:val="00F22503"/>
    <w:rsid w:val="00F22A03"/>
    <w:rsid w:val="00F23F7F"/>
    <w:rsid w:val="00F24036"/>
    <w:rsid w:val="00F247F6"/>
    <w:rsid w:val="00F25820"/>
    <w:rsid w:val="00F305B1"/>
    <w:rsid w:val="00F3187E"/>
    <w:rsid w:val="00F323DE"/>
    <w:rsid w:val="00F35654"/>
    <w:rsid w:val="00F3637E"/>
    <w:rsid w:val="00F36AC0"/>
    <w:rsid w:val="00F37C3B"/>
    <w:rsid w:val="00F41F1B"/>
    <w:rsid w:val="00F42203"/>
    <w:rsid w:val="00F42E24"/>
    <w:rsid w:val="00F44532"/>
    <w:rsid w:val="00F46203"/>
    <w:rsid w:val="00F46DD0"/>
    <w:rsid w:val="00F470B4"/>
    <w:rsid w:val="00F50DB3"/>
    <w:rsid w:val="00F519BE"/>
    <w:rsid w:val="00F52365"/>
    <w:rsid w:val="00F52D34"/>
    <w:rsid w:val="00F52E3F"/>
    <w:rsid w:val="00F5376D"/>
    <w:rsid w:val="00F54277"/>
    <w:rsid w:val="00F55F94"/>
    <w:rsid w:val="00F56CE1"/>
    <w:rsid w:val="00F60764"/>
    <w:rsid w:val="00F60A8E"/>
    <w:rsid w:val="00F614B5"/>
    <w:rsid w:val="00F62856"/>
    <w:rsid w:val="00F6443C"/>
    <w:rsid w:val="00F6482C"/>
    <w:rsid w:val="00F64B53"/>
    <w:rsid w:val="00F64E88"/>
    <w:rsid w:val="00F66460"/>
    <w:rsid w:val="00F6665E"/>
    <w:rsid w:val="00F6665F"/>
    <w:rsid w:val="00F70078"/>
    <w:rsid w:val="00F70B3A"/>
    <w:rsid w:val="00F70D0A"/>
    <w:rsid w:val="00F7155F"/>
    <w:rsid w:val="00F7197C"/>
    <w:rsid w:val="00F741A9"/>
    <w:rsid w:val="00F743CD"/>
    <w:rsid w:val="00F76525"/>
    <w:rsid w:val="00F772AD"/>
    <w:rsid w:val="00F8005C"/>
    <w:rsid w:val="00F8359F"/>
    <w:rsid w:val="00F8381E"/>
    <w:rsid w:val="00F83EE3"/>
    <w:rsid w:val="00F84358"/>
    <w:rsid w:val="00F84AFF"/>
    <w:rsid w:val="00F84EDC"/>
    <w:rsid w:val="00F8663F"/>
    <w:rsid w:val="00F8756F"/>
    <w:rsid w:val="00F878D2"/>
    <w:rsid w:val="00F928EC"/>
    <w:rsid w:val="00F9327B"/>
    <w:rsid w:val="00F952CE"/>
    <w:rsid w:val="00F957FB"/>
    <w:rsid w:val="00F96A43"/>
    <w:rsid w:val="00F96D07"/>
    <w:rsid w:val="00F97889"/>
    <w:rsid w:val="00F97DC9"/>
    <w:rsid w:val="00F97F6C"/>
    <w:rsid w:val="00FA02A4"/>
    <w:rsid w:val="00FA03C9"/>
    <w:rsid w:val="00FA0990"/>
    <w:rsid w:val="00FA1A7D"/>
    <w:rsid w:val="00FA2641"/>
    <w:rsid w:val="00FA3496"/>
    <w:rsid w:val="00FA3585"/>
    <w:rsid w:val="00FA6FD9"/>
    <w:rsid w:val="00FA7EE6"/>
    <w:rsid w:val="00FB037B"/>
    <w:rsid w:val="00FB0397"/>
    <w:rsid w:val="00FB1862"/>
    <w:rsid w:val="00FB2EFF"/>
    <w:rsid w:val="00FB4A49"/>
    <w:rsid w:val="00FB7C5A"/>
    <w:rsid w:val="00FC09D3"/>
    <w:rsid w:val="00FC12A3"/>
    <w:rsid w:val="00FC27B7"/>
    <w:rsid w:val="00FC3694"/>
    <w:rsid w:val="00FC3D1E"/>
    <w:rsid w:val="00FC41BE"/>
    <w:rsid w:val="00FC41DD"/>
    <w:rsid w:val="00FC438E"/>
    <w:rsid w:val="00FC43D4"/>
    <w:rsid w:val="00FC4594"/>
    <w:rsid w:val="00FC5878"/>
    <w:rsid w:val="00FC6CCA"/>
    <w:rsid w:val="00FD0D80"/>
    <w:rsid w:val="00FD0F84"/>
    <w:rsid w:val="00FD3033"/>
    <w:rsid w:val="00FD3641"/>
    <w:rsid w:val="00FD62B9"/>
    <w:rsid w:val="00FD6556"/>
    <w:rsid w:val="00FD78FE"/>
    <w:rsid w:val="00FD7BE9"/>
    <w:rsid w:val="00FE01B6"/>
    <w:rsid w:val="00FE18C9"/>
    <w:rsid w:val="00FE2A79"/>
    <w:rsid w:val="00FE2B37"/>
    <w:rsid w:val="00FE2ED0"/>
    <w:rsid w:val="00FE47AE"/>
    <w:rsid w:val="00FE489F"/>
    <w:rsid w:val="00FE6F85"/>
    <w:rsid w:val="00FE7262"/>
    <w:rsid w:val="00FE7C83"/>
    <w:rsid w:val="00FF0110"/>
    <w:rsid w:val="00FF0A5F"/>
    <w:rsid w:val="00FF125D"/>
    <w:rsid w:val="00FF1840"/>
    <w:rsid w:val="00FF3286"/>
    <w:rsid w:val="00FF3CF8"/>
    <w:rsid w:val="00FF4F6E"/>
    <w:rsid w:val="00FF4F9C"/>
    <w:rsid w:val="00FF6194"/>
    <w:rsid w:val="00FF6E70"/>
    <w:rsid w:val="00FF6F22"/>
    <w:rsid w:val="01DD59FB"/>
    <w:rsid w:val="030671D3"/>
    <w:rsid w:val="03373831"/>
    <w:rsid w:val="03914CEF"/>
    <w:rsid w:val="044004C3"/>
    <w:rsid w:val="060F45F1"/>
    <w:rsid w:val="071546AD"/>
    <w:rsid w:val="07224301"/>
    <w:rsid w:val="07866B35"/>
    <w:rsid w:val="09894563"/>
    <w:rsid w:val="0BBE4AEF"/>
    <w:rsid w:val="0C7702A5"/>
    <w:rsid w:val="0D006A41"/>
    <w:rsid w:val="0D947AD6"/>
    <w:rsid w:val="0DC86D9B"/>
    <w:rsid w:val="0E083E00"/>
    <w:rsid w:val="0E751562"/>
    <w:rsid w:val="10196798"/>
    <w:rsid w:val="106C2D6C"/>
    <w:rsid w:val="10AA3894"/>
    <w:rsid w:val="11160F29"/>
    <w:rsid w:val="11BC6B55"/>
    <w:rsid w:val="11D861DF"/>
    <w:rsid w:val="124115B7"/>
    <w:rsid w:val="12AA36D7"/>
    <w:rsid w:val="12AB56A1"/>
    <w:rsid w:val="135950FD"/>
    <w:rsid w:val="14DD4BC8"/>
    <w:rsid w:val="15763D45"/>
    <w:rsid w:val="16077093"/>
    <w:rsid w:val="16D518D2"/>
    <w:rsid w:val="17944956"/>
    <w:rsid w:val="17FD074D"/>
    <w:rsid w:val="18781126"/>
    <w:rsid w:val="18C607CD"/>
    <w:rsid w:val="1AB71087"/>
    <w:rsid w:val="1AB772D9"/>
    <w:rsid w:val="1B79458F"/>
    <w:rsid w:val="1B9E3FF5"/>
    <w:rsid w:val="1C4214F5"/>
    <w:rsid w:val="1CE123EB"/>
    <w:rsid w:val="1F3B76DF"/>
    <w:rsid w:val="1F7A3DAF"/>
    <w:rsid w:val="1FF07988"/>
    <w:rsid w:val="20CC6275"/>
    <w:rsid w:val="20D12777"/>
    <w:rsid w:val="20D364EF"/>
    <w:rsid w:val="20F75336"/>
    <w:rsid w:val="210C7C53"/>
    <w:rsid w:val="21134982"/>
    <w:rsid w:val="2210187B"/>
    <w:rsid w:val="228A7081"/>
    <w:rsid w:val="22B10AB2"/>
    <w:rsid w:val="231153D5"/>
    <w:rsid w:val="240F5A90"/>
    <w:rsid w:val="243E6375"/>
    <w:rsid w:val="243F2734"/>
    <w:rsid w:val="24523BCF"/>
    <w:rsid w:val="274F7518"/>
    <w:rsid w:val="286D43E2"/>
    <w:rsid w:val="293F1874"/>
    <w:rsid w:val="294B0995"/>
    <w:rsid w:val="2B33613E"/>
    <w:rsid w:val="2C720C5C"/>
    <w:rsid w:val="2CA43435"/>
    <w:rsid w:val="2CD50997"/>
    <w:rsid w:val="2E4219E8"/>
    <w:rsid w:val="2F212B1B"/>
    <w:rsid w:val="30611453"/>
    <w:rsid w:val="31765C67"/>
    <w:rsid w:val="31D10829"/>
    <w:rsid w:val="32A47512"/>
    <w:rsid w:val="3317670F"/>
    <w:rsid w:val="336F02F9"/>
    <w:rsid w:val="3392223A"/>
    <w:rsid w:val="33C710A2"/>
    <w:rsid w:val="357716E7"/>
    <w:rsid w:val="35F25212"/>
    <w:rsid w:val="3676199F"/>
    <w:rsid w:val="36DD557A"/>
    <w:rsid w:val="377203B8"/>
    <w:rsid w:val="37A60062"/>
    <w:rsid w:val="387F1977"/>
    <w:rsid w:val="39EC3D26"/>
    <w:rsid w:val="3A1A0893"/>
    <w:rsid w:val="3B17014C"/>
    <w:rsid w:val="3B4F2821"/>
    <w:rsid w:val="3CBB635D"/>
    <w:rsid w:val="3D0E0B83"/>
    <w:rsid w:val="3D6F7148"/>
    <w:rsid w:val="3D840E45"/>
    <w:rsid w:val="3DEE2762"/>
    <w:rsid w:val="3E554590"/>
    <w:rsid w:val="40EB2F89"/>
    <w:rsid w:val="42D53EF1"/>
    <w:rsid w:val="44056110"/>
    <w:rsid w:val="45AD4CB1"/>
    <w:rsid w:val="463F1DAD"/>
    <w:rsid w:val="467C4DAF"/>
    <w:rsid w:val="47D74267"/>
    <w:rsid w:val="48174664"/>
    <w:rsid w:val="48961A2D"/>
    <w:rsid w:val="4B345CB5"/>
    <w:rsid w:val="4C655C6E"/>
    <w:rsid w:val="4C804ECE"/>
    <w:rsid w:val="4D336BFE"/>
    <w:rsid w:val="4FB03596"/>
    <w:rsid w:val="4FB07878"/>
    <w:rsid w:val="503C110B"/>
    <w:rsid w:val="5043693E"/>
    <w:rsid w:val="5084547F"/>
    <w:rsid w:val="515661FD"/>
    <w:rsid w:val="5167040A"/>
    <w:rsid w:val="51A258E6"/>
    <w:rsid w:val="51EE6217"/>
    <w:rsid w:val="527821A3"/>
    <w:rsid w:val="539971E2"/>
    <w:rsid w:val="53B81531"/>
    <w:rsid w:val="567E247E"/>
    <w:rsid w:val="58303625"/>
    <w:rsid w:val="5846521D"/>
    <w:rsid w:val="58AD748A"/>
    <w:rsid w:val="59637709"/>
    <w:rsid w:val="59FE48B1"/>
    <w:rsid w:val="5A6E2809"/>
    <w:rsid w:val="5A9549BA"/>
    <w:rsid w:val="5C2A2760"/>
    <w:rsid w:val="5C403D31"/>
    <w:rsid w:val="5D4A1C3D"/>
    <w:rsid w:val="5D504448"/>
    <w:rsid w:val="5E9409AB"/>
    <w:rsid w:val="60031C46"/>
    <w:rsid w:val="61037369"/>
    <w:rsid w:val="619428FE"/>
    <w:rsid w:val="63FC70D8"/>
    <w:rsid w:val="650D2C1F"/>
    <w:rsid w:val="66AC6B93"/>
    <w:rsid w:val="67B01BF8"/>
    <w:rsid w:val="69EC70EA"/>
    <w:rsid w:val="6A211646"/>
    <w:rsid w:val="6ABE6E95"/>
    <w:rsid w:val="6B6F1F3D"/>
    <w:rsid w:val="6BE4292B"/>
    <w:rsid w:val="6C922387"/>
    <w:rsid w:val="6D1C60F5"/>
    <w:rsid w:val="6E9A5523"/>
    <w:rsid w:val="6FB512E1"/>
    <w:rsid w:val="6FF45107"/>
    <w:rsid w:val="702A63E9"/>
    <w:rsid w:val="703F45D4"/>
    <w:rsid w:val="70756248"/>
    <w:rsid w:val="714F6A99"/>
    <w:rsid w:val="71620B0D"/>
    <w:rsid w:val="72367C59"/>
    <w:rsid w:val="72915957"/>
    <w:rsid w:val="72A72905"/>
    <w:rsid w:val="73673479"/>
    <w:rsid w:val="7379604F"/>
    <w:rsid w:val="73823FAB"/>
    <w:rsid w:val="74DD260E"/>
    <w:rsid w:val="759251C7"/>
    <w:rsid w:val="75A86778"/>
    <w:rsid w:val="75B570E6"/>
    <w:rsid w:val="770C71DA"/>
    <w:rsid w:val="78BE62B2"/>
    <w:rsid w:val="7BCC0A15"/>
    <w:rsid w:val="7BDD2EF3"/>
    <w:rsid w:val="7C613431"/>
    <w:rsid w:val="7E88183C"/>
    <w:rsid w:val="7EDE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 w:name="heading 3"/>
    <w:lsdException w:qFormat="1" w:uiPriority="0" w:semiHidden="0" w:name="heading 4"/>
    <w:lsdException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center"/>
    </w:pPr>
    <w:rPr>
      <w:rFonts w:ascii="Times New Roman" w:hAnsi="Times New Roman" w:eastAsia="宋体" w:cs="Times New Roman"/>
      <w:kern w:val="2"/>
      <w:sz w:val="24"/>
      <w:szCs w:val="24"/>
      <w:lang w:val="en-US" w:eastAsia="zh-CN" w:bidi="ar-SA"/>
    </w:rPr>
  </w:style>
  <w:style w:type="paragraph" w:styleId="2">
    <w:name w:val="heading 1"/>
    <w:basedOn w:val="1"/>
    <w:next w:val="1"/>
    <w:link w:val="25"/>
    <w:autoRedefine/>
    <w:qFormat/>
    <w:uiPriority w:val="0"/>
    <w:pPr>
      <w:keepNext/>
      <w:numPr>
        <w:ilvl w:val="0"/>
        <w:numId w:val="1"/>
      </w:numPr>
      <w:adjustRightInd w:val="0"/>
      <w:snapToGrid w:val="0"/>
      <w:spacing w:line="240" w:lineRule="atLeast"/>
      <w:outlineLvl w:val="0"/>
    </w:pPr>
    <w:rPr>
      <w:b/>
      <w:sz w:val="28"/>
    </w:rPr>
  </w:style>
  <w:style w:type="paragraph" w:styleId="3">
    <w:name w:val="heading 2"/>
    <w:basedOn w:val="1"/>
    <w:next w:val="1"/>
    <w:link w:val="24"/>
    <w:autoRedefine/>
    <w:qFormat/>
    <w:uiPriority w:val="0"/>
    <w:pPr>
      <w:keepNext/>
      <w:numPr>
        <w:ilvl w:val="1"/>
        <w:numId w:val="2"/>
      </w:numPr>
      <w:snapToGrid w:val="0"/>
      <w:outlineLvl w:val="1"/>
    </w:pPr>
    <w:rPr>
      <w:rFonts w:ascii="宋体" w:hAnsi="宋体"/>
      <w:b/>
      <w:kern w:val="0"/>
      <w:sz w:val="28"/>
      <w:szCs w:val="20"/>
    </w:rPr>
  </w:style>
  <w:style w:type="paragraph" w:styleId="4">
    <w:name w:val="heading 4"/>
    <w:basedOn w:val="1"/>
    <w:next w:val="1"/>
    <w:link w:val="23"/>
    <w:autoRedefine/>
    <w:unhideWhenUsed/>
    <w:qFormat/>
    <w:uiPriority w:val="0"/>
    <w:pPr>
      <w:keepNext/>
      <w:keepLines/>
      <w:numPr>
        <w:ilvl w:val="3"/>
        <w:numId w:val="2"/>
      </w:numPr>
      <w:outlineLvl w:val="3"/>
    </w:pPr>
    <w:rPr>
      <w:rFonts w:asciiTheme="majorHAnsi" w:hAnsiTheme="majorHAnsi" w:eastAsiaTheme="majorEastAsia" w:cstheme="majorBidi"/>
      <w:bCs/>
      <w:szCs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3"/>
    <w:autoRedefine/>
    <w:unhideWhenUsed/>
    <w:qFormat/>
    <w:uiPriority w:val="99"/>
    <w:pPr>
      <w:jc w:val="left"/>
    </w:pPr>
  </w:style>
  <w:style w:type="paragraph" w:styleId="6">
    <w:name w:val="Body Text"/>
    <w:basedOn w:val="1"/>
    <w:next w:val="1"/>
    <w:link w:val="46"/>
    <w:autoRedefine/>
    <w:unhideWhenUsed/>
    <w:qFormat/>
    <w:uiPriority w:val="0"/>
    <w:pPr>
      <w:spacing w:after="120"/>
    </w:pPr>
  </w:style>
  <w:style w:type="paragraph" w:styleId="7">
    <w:name w:val="Body Text Indent"/>
    <w:basedOn w:val="1"/>
    <w:next w:val="8"/>
    <w:link w:val="45"/>
    <w:autoRedefine/>
    <w:semiHidden/>
    <w:unhideWhenUsed/>
    <w:qFormat/>
    <w:uiPriority w:val="0"/>
    <w:pPr>
      <w:spacing w:after="120"/>
      <w:ind w:left="420" w:leftChars="200"/>
    </w:pPr>
  </w:style>
  <w:style w:type="paragraph" w:styleId="8">
    <w:name w:val="Body Text First Indent"/>
    <w:basedOn w:val="6"/>
    <w:next w:val="9"/>
    <w:autoRedefine/>
    <w:unhideWhenUsed/>
    <w:qFormat/>
    <w:uiPriority w:val="99"/>
    <w:pPr>
      <w:ind w:firstLine="420" w:firstLineChars="100"/>
    </w:pPr>
    <w:rPr>
      <w:rFonts w:ascii="Calibri" w:hAnsi="Calibri"/>
      <w:szCs w:val="22"/>
    </w:rPr>
  </w:style>
  <w:style w:type="paragraph" w:styleId="9">
    <w:name w:val="table of figures"/>
    <w:basedOn w:val="1"/>
    <w:next w:val="1"/>
    <w:autoRedefine/>
    <w:qFormat/>
    <w:uiPriority w:val="0"/>
    <w:pPr>
      <w:widowControl w:val="0"/>
      <w:ind w:leftChars="200" w:hanging="200" w:hangingChars="200"/>
      <w:jc w:val="both"/>
    </w:pPr>
    <w:rPr>
      <w:rFonts w:ascii="Calibri" w:hAnsi="Calibri" w:cs="Times New Roman"/>
      <w:kern w:val="2"/>
      <w:sz w:val="21"/>
      <w:szCs w:val="22"/>
    </w:rPr>
  </w:style>
  <w:style w:type="paragraph" w:styleId="10">
    <w:name w:val="Plain Text"/>
    <w:basedOn w:val="1"/>
    <w:next w:val="1"/>
    <w:link w:val="49"/>
    <w:autoRedefine/>
    <w:qFormat/>
    <w:uiPriority w:val="0"/>
    <w:pPr>
      <w:jc w:val="both"/>
    </w:pPr>
    <w:rPr>
      <w:rFonts w:ascii="宋体" w:hAnsi="Courier New"/>
      <w:kern w:val="0"/>
      <w:sz w:val="21"/>
    </w:rPr>
  </w:style>
  <w:style w:type="paragraph" w:styleId="11">
    <w:name w:val="footer"/>
    <w:basedOn w:val="1"/>
    <w:link w:val="27"/>
    <w:autoRedefine/>
    <w:unhideWhenUsed/>
    <w:qFormat/>
    <w:uiPriority w:val="99"/>
    <w:pPr>
      <w:tabs>
        <w:tab w:val="center" w:pos="4153"/>
        <w:tab w:val="right" w:pos="8306"/>
      </w:tabs>
      <w:snapToGrid w:val="0"/>
    </w:pPr>
    <w:rPr>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pPr>
    <w:rPr>
      <w:sz w:val="18"/>
      <w:szCs w:val="18"/>
    </w:rPr>
  </w:style>
  <w:style w:type="paragraph" w:styleId="13">
    <w:name w:val="Subtitle"/>
    <w:basedOn w:val="1"/>
    <w:next w:val="1"/>
    <w:link w:val="54"/>
    <w:autoRedefine/>
    <w:qFormat/>
    <w:uiPriority w:val="0"/>
    <w:rPr>
      <w:b/>
      <w:bCs/>
      <w:kern w:val="28"/>
      <w:sz w:val="21"/>
      <w:szCs w:val="32"/>
    </w:rPr>
  </w:style>
  <w:style w:type="paragraph" w:styleId="14">
    <w:name w:val="Body Text Indent 3"/>
    <w:basedOn w:val="1"/>
    <w:link w:val="50"/>
    <w:autoRedefine/>
    <w:qFormat/>
    <w:uiPriority w:val="0"/>
    <w:pPr>
      <w:spacing w:after="120"/>
      <w:ind w:left="420" w:leftChars="200"/>
      <w:jc w:val="both"/>
    </w:pPr>
    <w:rPr>
      <w:sz w:val="16"/>
      <w:szCs w:val="16"/>
    </w:rPr>
  </w:style>
  <w:style w:type="paragraph" w:styleId="15">
    <w:name w:val="Normal (Web)"/>
    <w:basedOn w:val="1"/>
    <w:link w:val="32"/>
    <w:autoRedefine/>
    <w:qFormat/>
    <w:uiPriority w:val="0"/>
    <w:pPr>
      <w:widowControl/>
      <w:spacing w:before="100" w:beforeAutospacing="1" w:after="100" w:afterAutospacing="1"/>
      <w:jc w:val="left"/>
    </w:pPr>
    <w:rPr>
      <w:rFonts w:ascii="宋体" w:hAnsi="宋体"/>
      <w:kern w:val="0"/>
    </w:rPr>
  </w:style>
  <w:style w:type="paragraph" w:styleId="16">
    <w:name w:val="annotation subject"/>
    <w:basedOn w:val="5"/>
    <w:next w:val="5"/>
    <w:link w:val="34"/>
    <w:autoRedefine/>
    <w:semiHidden/>
    <w:unhideWhenUsed/>
    <w:qFormat/>
    <w:uiPriority w:val="99"/>
    <w:rPr>
      <w:b/>
      <w:bCs/>
    </w:rPr>
  </w:style>
  <w:style w:type="paragraph" w:styleId="17">
    <w:name w:val="Body Text First Indent 2"/>
    <w:basedOn w:val="7"/>
    <w:next w:val="1"/>
    <w:link w:val="52"/>
    <w:autoRedefine/>
    <w:semiHidden/>
    <w:unhideWhenUsed/>
    <w:qFormat/>
    <w:uiPriority w:val="99"/>
    <w:pPr>
      <w:ind w:firstLine="420" w:firstLineChars="20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semiHidden/>
    <w:unhideWhenUsed/>
    <w:qFormat/>
    <w:uiPriority w:val="99"/>
    <w:rPr>
      <w:color w:val="0000FF"/>
      <w:u w:val="single"/>
    </w:rPr>
  </w:style>
  <w:style w:type="character" w:styleId="22">
    <w:name w:val="annotation reference"/>
    <w:basedOn w:val="20"/>
    <w:autoRedefine/>
    <w:semiHidden/>
    <w:unhideWhenUsed/>
    <w:qFormat/>
    <w:uiPriority w:val="99"/>
    <w:rPr>
      <w:sz w:val="21"/>
      <w:szCs w:val="21"/>
    </w:rPr>
  </w:style>
  <w:style w:type="character" w:customStyle="1" w:styleId="23">
    <w:name w:val="标题 4 字符"/>
    <w:basedOn w:val="20"/>
    <w:link w:val="4"/>
    <w:autoRedefine/>
    <w:qFormat/>
    <w:uiPriority w:val="0"/>
    <w:rPr>
      <w:rFonts w:asciiTheme="majorHAnsi" w:hAnsiTheme="majorHAnsi" w:eastAsiaTheme="majorEastAsia" w:cstheme="majorBidi"/>
      <w:bCs/>
      <w:sz w:val="24"/>
      <w:szCs w:val="28"/>
    </w:rPr>
  </w:style>
  <w:style w:type="character" w:customStyle="1" w:styleId="24">
    <w:name w:val="标题 2 字符"/>
    <w:basedOn w:val="20"/>
    <w:link w:val="3"/>
    <w:autoRedefine/>
    <w:qFormat/>
    <w:uiPriority w:val="0"/>
    <w:rPr>
      <w:rFonts w:ascii="宋体" w:hAnsi="宋体" w:eastAsia="宋体" w:cs="Times New Roman"/>
      <w:b/>
      <w:kern w:val="0"/>
      <w:sz w:val="28"/>
      <w:szCs w:val="20"/>
    </w:rPr>
  </w:style>
  <w:style w:type="character" w:customStyle="1" w:styleId="25">
    <w:name w:val="标题 1 字符"/>
    <w:link w:val="2"/>
    <w:autoRedefine/>
    <w:qFormat/>
    <w:uiPriority w:val="0"/>
    <w:rPr>
      <w:b/>
      <w:sz w:val="28"/>
      <w:szCs w:val="24"/>
    </w:rPr>
  </w:style>
  <w:style w:type="character" w:customStyle="1" w:styleId="26">
    <w:name w:val="页眉 字符"/>
    <w:basedOn w:val="20"/>
    <w:link w:val="12"/>
    <w:autoRedefine/>
    <w:qFormat/>
    <w:uiPriority w:val="99"/>
    <w:rPr>
      <w:sz w:val="18"/>
      <w:szCs w:val="18"/>
    </w:rPr>
  </w:style>
  <w:style w:type="character" w:customStyle="1" w:styleId="27">
    <w:name w:val="页脚 字符"/>
    <w:basedOn w:val="20"/>
    <w:link w:val="11"/>
    <w:autoRedefine/>
    <w:qFormat/>
    <w:uiPriority w:val="99"/>
    <w:rPr>
      <w:sz w:val="18"/>
      <w:szCs w:val="18"/>
    </w:rPr>
  </w:style>
  <w:style w:type="paragraph" w:customStyle="1" w:styleId="28">
    <w:name w:val="表格正文"/>
    <w:basedOn w:val="1"/>
    <w:link w:val="30"/>
    <w:autoRedefine/>
    <w:qFormat/>
    <w:uiPriority w:val="0"/>
    <w:rPr>
      <w:sz w:val="21"/>
    </w:rPr>
  </w:style>
  <w:style w:type="paragraph" w:customStyle="1" w:styleId="29">
    <w:name w:val="大标题"/>
    <w:basedOn w:val="1"/>
    <w:link w:val="31"/>
    <w:autoRedefine/>
    <w:qFormat/>
    <w:uiPriority w:val="0"/>
    <w:pPr>
      <w:widowControl/>
      <w:spacing w:before="100" w:beforeAutospacing="1" w:after="100" w:afterAutospacing="1"/>
      <w:outlineLvl w:val="0"/>
    </w:pPr>
    <w:rPr>
      <w:rFonts w:ascii="黑体" w:hAnsi="黑体" w:eastAsia="黑体" w:cs="宋体"/>
      <w:b/>
      <w:kern w:val="0"/>
      <w:sz w:val="30"/>
      <w:szCs w:val="30"/>
    </w:rPr>
  </w:style>
  <w:style w:type="character" w:customStyle="1" w:styleId="30">
    <w:name w:val="表格正文 字符"/>
    <w:basedOn w:val="20"/>
    <w:link w:val="28"/>
    <w:autoRedefine/>
    <w:qFormat/>
    <w:uiPriority w:val="0"/>
    <w:rPr>
      <w:rFonts w:ascii="Times New Roman" w:hAnsi="Times New Roman" w:eastAsia="宋体"/>
      <w:szCs w:val="24"/>
    </w:rPr>
  </w:style>
  <w:style w:type="character" w:customStyle="1" w:styleId="31">
    <w:name w:val="大标题 字符"/>
    <w:basedOn w:val="20"/>
    <w:link w:val="29"/>
    <w:autoRedefine/>
    <w:qFormat/>
    <w:uiPriority w:val="0"/>
    <w:rPr>
      <w:rFonts w:ascii="黑体" w:hAnsi="黑体" w:eastAsia="黑体" w:cs="宋体"/>
      <w:b/>
      <w:kern w:val="0"/>
      <w:sz w:val="30"/>
      <w:szCs w:val="30"/>
    </w:rPr>
  </w:style>
  <w:style w:type="character" w:customStyle="1" w:styleId="32">
    <w:name w:val="普通(网站) 字符"/>
    <w:link w:val="15"/>
    <w:autoRedefine/>
    <w:qFormat/>
    <w:locked/>
    <w:uiPriority w:val="0"/>
    <w:rPr>
      <w:rFonts w:ascii="宋体" w:hAnsi="宋体" w:eastAsia="宋体" w:cs="Times New Roman"/>
      <w:kern w:val="0"/>
      <w:sz w:val="24"/>
      <w:szCs w:val="24"/>
    </w:rPr>
  </w:style>
  <w:style w:type="character" w:customStyle="1" w:styleId="33">
    <w:name w:val="批注文字 字符"/>
    <w:basedOn w:val="20"/>
    <w:link w:val="5"/>
    <w:autoRedefine/>
    <w:qFormat/>
    <w:uiPriority w:val="99"/>
    <w:rPr>
      <w:rFonts w:ascii="Times New Roman" w:hAnsi="Times New Roman" w:eastAsia="宋体" w:cs="Times New Roman"/>
      <w:sz w:val="24"/>
      <w:szCs w:val="24"/>
    </w:rPr>
  </w:style>
  <w:style w:type="character" w:customStyle="1" w:styleId="34">
    <w:name w:val="批注主题 字符"/>
    <w:basedOn w:val="33"/>
    <w:link w:val="16"/>
    <w:autoRedefine/>
    <w:semiHidden/>
    <w:qFormat/>
    <w:uiPriority w:val="99"/>
    <w:rPr>
      <w:rFonts w:ascii="Times New Roman" w:hAnsi="Times New Roman" w:eastAsia="宋体" w:cs="Times New Roman"/>
      <w:b/>
      <w:bCs/>
      <w:sz w:val="24"/>
      <w:szCs w:val="24"/>
    </w:rPr>
  </w:style>
  <w:style w:type="paragraph" w:customStyle="1" w:styleId="35">
    <w:name w:val="表头"/>
    <w:basedOn w:val="1"/>
    <w:link w:val="36"/>
    <w:autoRedefine/>
    <w:qFormat/>
    <w:uiPriority w:val="0"/>
    <w:pPr>
      <w:spacing w:line="360" w:lineRule="auto"/>
    </w:pPr>
    <w:rPr>
      <w:b/>
      <w:color w:val="0000FF"/>
    </w:rPr>
  </w:style>
  <w:style w:type="character" w:customStyle="1" w:styleId="36">
    <w:name w:val="表头 字符"/>
    <w:basedOn w:val="20"/>
    <w:link w:val="35"/>
    <w:autoRedefine/>
    <w:qFormat/>
    <w:uiPriority w:val="0"/>
    <w:rPr>
      <w:rFonts w:ascii="Times New Roman" w:hAnsi="Times New Roman" w:eastAsia="宋体" w:cs="Times New Roman"/>
      <w:b/>
      <w:color w:val="0000FF"/>
      <w:sz w:val="24"/>
      <w:szCs w:val="24"/>
    </w:rPr>
  </w:style>
  <w:style w:type="paragraph" w:customStyle="1" w:styleId="37">
    <w:name w:val="表外正文"/>
    <w:basedOn w:val="28"/>
    <w:link w:val="38"/>
    <w:autoRedefine/>
    <w:qFormat/>
    <w:uiPriority w:val="0"/>
    <w:pPr>
      <w:spacing w:line="360" w:lineRule="auto"/>
      <w:ind w:firstLine="200" w:firstLineChars="200"/>
      <w:jc w:val="both"/>
    </w:pPr>
    <w:rPr>
      <w:sz w:val="24"/>
    </w:rPr>
  </w:style>
  <w:style w:type="character" w:customStyle="1" w:styleId="38">
    <w:name w:val="表外正文 字符"/>
    <w:basedOn w:val="30"/>
    <w:link w:val="37"/>
    <w:autoRedefine/>
    <w:qFormat/>
    <w:uiPriority w:val="0"/>
    <w:rPr>
      <w:rFonts w:ascii="Times New Roman" w:hAnsi="Times New Roman" w:eastAsia="宋体" w:cs="Times New Roman"/>
      <w:sz w:val="24"/>
      <w:szCs w:val="24"/>
    </w:rPr>
  </w:style>
  <w:style w:type="paragraph" w:customStyle="1" w:styleId="39">
    <w:name w:val="表格内容"/>
    <w:basedOn w:val="1"/>
    <w:link w:val="40"/>
    <w:autoRedefine/>
    <w:qFormat/>
    <w:uiPriority w:val="0"/>
    <w:pPr>
      <w:adjustRightInd w:val="0"/>
      <w:snapToGrid w:val="0"/>
    </w:pPr>
    <w:rPr>
      <w:rFonts w:cs="宋体"/>
      <w:kern w:val="0"/>
      <w:sz w:val="21"/>
      <w:szCs w:val="21"/>
    </w:rPr>
  </w:style>
  <w:style w:type="character" w:customStyle="1" w:styleId="40">
    <w:name w:val="表格内容 字符"/>
    <w:link w:val="39"/>
    <w:autoRedefine/>
    <w:qFormat/>
    <w:uiPriority w:val="0"/>
    <w:rPr>
      <w:rFonts w:ascii="Times New Roman" w:hAnsi="Times New Roman" w:eastAsia="宋体" w:cs="宋体"/>
      <w:kern w:val="0"/>
      <w:szCs w:val="21"/>
    </w:rPr>
  </w:style>
  <w:style w:type="paragraph" w:customStyle="1" w:styleId="41">
    <w:name w:val="正文1"/>
    <w:basedOn w:val="1"/>
    <w:link w:val="42"/>
    <w:autoRedefine/>
    <w:qFormat/>
    <w:uiPriority w:val="0"/>
    <w:pPr>
      <w:adjustRightInd w:val="0"/>
      <w:snapToGrid w:val="0"/>
      <w:spacing w:line="360" w:lineRule="auto"/>
      <w:ind w:firstLine="200" w:firstLineChars="200"/>
      <w:jc w:val="both"/>
    </w:pPr>
    <w:rPr>
      <w:rFonts w:cs="宋体"/>
      <w:kern w:val="0"/>
      <w:szCs w:val="21"/>
    </w:rPr>
  </w:style>
  <w:style w:type="character" w:customStyle="1" w:styleId="42">
    <w:name w:val="正文1 字符"/>
    <w:link w:val="41"/>
    <w:autoRedefine/>
    <w:qFormat/>
    <w:uiPriority w:val="0"/>
    <w:rPr>
      <w:rFonts w:ascii="Times New Roman" w:hAnsi="Times New Roman" w:eastAsia="宋体" w:cs="宋体"/>
      <w:kern w:val="0"/>
      <w:sz w:val="24"/>
      <w:szCs w:val="21"/>
    </w:rPr>
  </w:style>
  <w:style w:type="character" w:customStyle="1" w:styleId="43">
    <w:name w:val="0正文 Char Char"/>
    <w:link w:val="44"/>
    <w:autoRedefine/>
    <w:qFormat/>
    <w:uiPriority w:val="0"/>
    <w:rPr>
      <w:rFonts w:cs="宋体"/>
      <w:sz w:val="24"/>
    </w:rPr>
  </w:style>
  <w:style w:type="paragraph" w:customStyle="1" w:styleId="44">
    <w:name w:val="0正文"/>
    <w:basedOn w:val="7"/>
    <w:link w:val="43"/>
    <w:autoRedefine/>
    <w:qFormat/>
    <w:uiPriority w:val="0"/>
    <w:pPr>
      <w:spacing w:after="0" w:line="300" w:lineRule="auto"/>
      <w:ind w:left="0" w:leftChars="0" w:firstLine="480" w:firstLineChars="200"/>
      <w:jc w:val="both"/>
    </w:pPr>
    <w:rPr>
      <w:rFonts w:cs="宋体" w:asciiTheme="minorHAnsi" w:hAnsiTheme="minorHAnsi" w:eastAsiaTheme="minorEastAsia"/>
      <w:szCs w:val="22"/>
    </w:rPr>
  </w:style>
  <w:style w:type="character" w:customStyle="1" w:styleId="45">
    <w:name w:val="正文文本缩进 字符"/>
    <w:basedOn w:val="20"/>
    <w:link w:val="7"/>
    <w:autoRedefine/>
    <w:semiHidden/>
    <w:qFormat/>
    <w:uiPriority w:val="0"/>
    <w:rPr>
      <w:rFonts w:ascii="Times New Roman" w:hAnsi="Times New Roman" w:eastAsia="宋体" w:cs="Times New Roman"/>
      <w:sz w:val="24"/>
      <w:szCs w:val="24"/>
    </w:rPr>
  </w:style>
  <w:style w:type="character" w:customStyle="1" w:styleId="46">
    <w:name w:val="正文文本 字符"/>
    <w:basedOn w:val="20"/>
    <w:link w:val="6"/>
    <w:autoRedefine/>
    <w:qFormat/>
    <w:uiPriority w:val="0"/>
    <w:rPr>
      <w:rFonts w:ascii="Times New Roman" w:hAnsi="Times New Roman" w:eastAsia="宋体" w:cs="Times New Roman"/>
      <w:sz w:val="24"/>
      <w:szCs w:val="24"/>
    </w:rPr>
  </w:style>
  <w:style w:type="character" w:customStyle="1" w:styleId="47">
    <w:name w:val="表格文字 Char"/>
    <w:link w:val="48"/>
    <w:autoRedefine/>
    <w:qFormat/>
    <w:uiPriority w:val="0"/>
    <w:rPr>
      <w:rFonts w:ascii="宋体" w:hAnsi="宋体"/>
    </w:rPr>
  </w:style>
  <w:style w:type="paragraph" w:customStyle="1" w:styleId="48">
    <w:name w:val="表格文字"/>
    <w:basedOn w:val="1"/>
    <w:link w:val="47"/>
    <w:autoRedefine/>
    <w:qFormat/>
    <w:uiPriority w:val="0"/>
    <w:pPr>
      <w:snapToGrid w:val="0"/>
      <w:jc w:val="both"/>
    </w:pPr>
    <w:rPr>
      <w:rFonts w:ascii="宋体" w:hAnsi="宋体" w:eastAsiaTheme="minorEastAsia" w:cstheme="minorBidi"/>
      <w:sz w:val="21"/>
      <w:szCs w:val="22"/>
    </w:rPr>
  </w:style>
  <w:style w:type="character" w:customStyle="1" w:styleId="49">
    <w:name w:val="纯文本 字符"/>
    <w:basedOn w:val="20"/>
    <w:link w:val="10"/>
    <w:autoRedefine/>
    <w:qFormat/>
    <w:uiPriority w:val="0"/>
    <w:rPr>
      <w:rFonts w:ascii="宋体" w:hAnsi="Courier New" w:eastAsia="宋体" w:cs="Times New Roman"/>
      <w:kern w:val="0"/>
      <w:szCs w:val="24"/>
    </w:rPr>
  </w:style>
  <w:style w:type="character" w:customStyle="1" w:styleId="50">
    <w:name w:val="正文文本缩进 3 字符"/>
    <w:basedOn w:val="20"/>
    <w:link w:val="14"/>
    <w:autoRedefine/>
    <w:qFormat/>
    <w:uiPriority w:val="0"/>
    <w:rPr>
      <w:rFonts w:ascii="Times New Roman" w:hAnsi="Times New Roman" w:eastAsia="宋体" w:cs="Times New Roman"/>
      <w:sz w:val="16"/>
      <w:szCs w:val="16"/>
    </w:rPr>
  </w:style>
  <w:style w:type="paragraph" w:customStyle="1" w:styleId="51">
    <w:name w:val="Table Paragraph"/>
    <w:basedOn w:val="1"/>
    <w:autoRedefine/>
    <w:qFormat/>
    <w:uiPriority w:val="1"/>
    <w:pPr>
      <w:jc w:val="both"/>
    </w:pPr>
    <w:rPr>
      <w:rFonts w:ascii="宋体" w:hAnsi="宋体" w:cs="宋体"/>
      <w:sz w:val="21"/>
      <w:lang w:val="zh-CN" w:bidi="zh-CN"/>
    </w:rPr>
  </w:style>
  <w:style w:type="character" w:customStyle="1" w:styleId="52">
    <w:name w:val="正文文本首行缩进 2 字符"/>
    <w:basedOn w:val="45"/>
    <w:link w:val="17"/>
    <w:autoRedefine/>
    <w:semiHidden/>
    <w:qFormat/>
    <w:uiPriority w:val="99"/>
    <w:rPr>
      <w:rFonts w:ascii="Times New Roman" w:hAnsi="Times New Roman" w:eastAsia="宋体" w:cs="Times New Roman"/>
      <w:sz w:val="24"/>
      <w:szCs w:val="24"/>
    </w:rPr>
  </w:style>
  <w:style w:type="paragraph" w:customStyle="1" w:styleId="53">
    <w:name w:val="1表格"/>
    <w:basedOn w:val="1"/>
    <w:autoRedefine/>
    <w:qFormat/>
    <w:uiPriority w:val="0"/>
    <w:pPr>
      <w:snapToGrid w:val="0"/>
      <w:spacing w:line="160" w:lineRule="atLeast"/>
    </w:pPr>
    <w:rPr>
      <w:rFonts w:eastAsia="仿宋_GB2312"/>
      <w:sz w:val="21"/>
      <w:szCs w:val="20"/>
    </w:rPr>
  </w:style>
  <w:style w:type="character" w:customStyle="1" w:styleId="54">
    <w:name w:val="副标题 字符"/>
    <w:basedOn w:val="20"/>
    <w:link w:val="13"/>
    <w:autoRedefine/>
    <w:qFormat/>
    <w:uiPriority w:val="0"/>
    <w:rPr>
      <w:rFonts w:ascii="Times New Roman" w:hAnsi="Times New Roman" w:eastAsia="宋体" w:cs="Times New Roman"/>
      <w:b/>
      <w:bCs/>
      <w:kern w:val="28"/>
      <w:szCs w:val="32"/>
    </w:rPr>
  </w:style>
  <w:style w:type="character" w:customStyle="1" w:styleId="55">
    <w:name w:val="Body text (2) + 10 pt9"/>
    <w:basedOn w:val="20"/>
    <w:autoRedefine/>
    <w:qFormat/>
    <w:uiPriority w:val="0"/>
    <w:rPr>
      <w:rFonts w:ascii="宋体" w:hAnsi="宋体" w:cs="宋体"/>
      <w:b/>
      <w:bCs/>
      <w:kern w:val="0"/>
      <w:sz w:val="20"/>
      <w:szCs w:val="20"/>
      <w:u w:val="none"/>
    </w:rPr>
  </w:style>
  <w:style w:type="paragraph" w:customStyle="1" w:styleId="56">
    <w:name w:val="正文 New"/>
    <w:autoRedefine/>
    <w:qFormat/>
    <w:uiPriority w:val="0"/>
    <w:pPr>
      <w:widowControl w:val="0"/>
      <w:spacing w:line="360" w:lineRule="auto"/>
      <w:ind w:firstLine="200" w:firstLineChars="200"/>
      <w:jc w:val="both"/>
    </w:pPr>
    <w:rPr>
      <w:rFonts w:ascii="Calibri" w:hAnsi="Calibri" w:eastAsia="宋体" w:cs="Times New Roman"/>
      <w:kern w:val="2"/>
      <w:sz w:val="28"/>
      <w:szCs w:val="24"/>
      <w:lang w:val="en-US" w:eastAsia="zh-CN" w:bidi="ar-SA"/>
    </w:rPr>
  </w:style>
  <w:style w:type="character" w:styleId="57">
    <w:name w:val="Placeholder Text"/>
    <w:basedOn w:val="20"/>
    <w:autoRedefine/>
    <w:semiHidden/>
    <w:qFormat/>
    <w:uiPriority w:val="99"/>
    <w:rPr>
      <w:color w:val="808080"/>
    </w:rPr>
  </w:style>
  <w:style w:type="paragraph" w:customStyle="1" w:styleId="58">
    <w:name w:val="Table Text"/>
    <w:basedOn w:val="1"/>
    <w:autoRedefine/>
    <w:semiHidden/>
    <w:qFormat/>
    <w:uiPriority w:val="0"/>
    <w:rPr>
      <w:rFonts w:ascii="黑体" w:hAnsi="黑体" w:eastAsia="黑体" w:cs="黑体"/>
      <w:sz w:val="28"/>
      <w:szCs w:val="28"/>
      <w:lang w:val="en-US" w:eastAsia="en-US"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报告正文"/>
    <w:basedOn w:val="1"/>
    <w:autoRedefine/>
    <w:qFormat/>
    <w:uiPriority w:val="0"/>
    <w:pPr>
      <w:ind w:firstLine="482"/>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38537</Words>
  <Characters>40271</Characters>
  <Lines>268</Lines>
  <Paragraphs>75</Paragraphs>
  <TotalTime>53</TotalTime>
  <ScaleCrop>false</ScaleCrop>
  <LinksUpToDate>false</LinksUpToDate>
  <CharactersWithSpaces>40323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2022-08-11T14:23:00Z</dcterms:created>
  <dc:creator>赵 京港</dc:creator>
  <cp:lastModifiedBy>愛殇璃</cp:lastModifiedBy>
  <dcterms:modified xsi:type="dcterms:W3CDTF">2024-10-14T07:39:22Z</dcterms:modified>
  <cp:revision>691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6E036DB2C8F94A368E03BF8E88C6EC30_13</vt:lpwstr>
  </property>
</Properties>
</file>