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保健食品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抽检依据是Q/HRRBD 0001S-2023《红牛维生素功能饮料》,GB 16740-2014《食品安全国家标准 保健食品》等标准及产品明示标准和指标的要求。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保健食品</w:t>
      </w:r>
      <w:r>
        <w:rPr>
          <w:rFonts w:hint="eastAsia" w:ascii="仿宋_GB2312" w:hAnsi="黑体" w:eastAsia="仿宋_GB2312"/>
          <w:sz w:val="32"/>
          <w:szCs w:val="32"/>
        </w:rPr>
        <w:t>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、总砷(As)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2.油饼油条(自制)的抽检项目包括铝的残留量(干样品,以Al计)；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3.煎炸过程用油的抽检项目包括酸价(KOH)；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5.花生制品(自制)的抽检项目包括黄曲霉毒素B₁。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茶叶及相关制品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绿茶、红茶、乌龙茶、黄茶、白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茶、黑茶、花茶、袋泡茶、紧压茶的抽检项目包括克百威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吡虫啉。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、铝的残留量(干样品,以Al计)。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</w:t>
      </w:r>
      <w:r>
        <w:rPr>
          <w:rFonts w:hint="eastAsia" w:ascii="仿宋_GB2312" w:hAnsi="黑体" w:eastAsia="仿宋_GB2312"/>
          <w:sz w:val="32"/>
          <w:szCs w:val="32"/>
        </w:rPr>
        <w:t>大肠菌群、</w:t>
      </w:r>
      <w:r>
        <w:rPr>
          <w:rFonts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、霉菌。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、丙酸及其钠盐、钙盐(以丙酸计)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冷冻饮品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2759-2015《食品安全国家标准 冷冻饮品和制作料》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29921-2021《食品安全国家标准 预包装食品中致病菌限量》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冰淇淋、雪糕、雪泥、冰棍、食用冰、甜味冰、其他类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沙门氏菌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、苯甲酸及其钠盐(以苯甲酸计)。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1.熏烧烤肉制品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速冻食品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速冻面米生制品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果冻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pStyle w:val="4"/>
        <w:numPr>
          <w:ilvl w:val="0"/>
          <w:numId w:val="7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ascii="楷体" w:hAnsi="楷体" w:eastAsia="楷体" w:cs="黑体"/>
          <w:b/>
          <w:color w:val="000000"/>
          <w:sz w:val="32"/>
          <w:szCs w:val="32"/>
        </w:rPr>
        <w:t>抽检</w:t>
      </w: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依据</w:t>
      </w:r>
    </w:p>
    <w:p>
      <w:pPr>
        <w:spacing w:line="640" w:lineRule="exact"/>
        <w:ind w:firstLine="640" w:firstLineChars="200"/>
        <w:outlineLvl w:val="0"/>
        <w:rPr>
          <w:rFonts w:hint="eastAsia"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7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2763.1-2022《食品安全国家标准食品中2,4-滴丁酸钠盐等112种农药最大残留限量》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</w:rPr>
        <w:t>、噻虫胺、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ascii="仿宋_GB2312" w:hAnsi="黑体" w:eastAsia="仿宋_GB2312"/>
          <w:color w:val="auto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生干籽类的抽检项目包括酸价(以脂肪计)(KOH)、过氧化值(以脂肪计)、黄曲霉毒素B₁；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香蕉的抽检项目包括多菌灵、吡唑醚菌酯、腈苯唑、噻虫胺、噻虫嗪、吡虫啉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50E558B"/>
    <w:rsid w:val="06F265AD"/>
    <w:rsid w:val="0AAF7FF5"/>
    <w:rsid w:val="0D8542FE"/>
    <w:rsid w:val="0F865924"/>
    <w:rsid w:val="10757746"/>
    <w:rsid w:val="13ED2AE1"/>
    <w:rsid w:val="141F1CB4"/>
    <w:rsid w:val="15033573"/>
    <w:rsid w:val="16C84A74"/>
    <w:rsid w:val="16D86862"/>
    <w:rsid w:val="17B53EFE"/>
    <w:rsid w:val="17DE1EEC"/>
    <w:rsid w:val="1B5763C6"/>
    <w:rsid w:val="1D9F3DCB"/>
    <w:rsid w:val="2F4D3910"/>
    <w:rsid w:val="38CC1DA9"/>
    <w:rsid w:val="39215577"/>
    <w:rsid w:val="3E8804C1"/>
    <w:rsid w:val="4180507D"/>
    <w:rsid w:val="4B510DE4"/>
    <w:rsid w:val="4B681523"/>
    <w:rsid w:val="4BD27749"/>
    <w:rsid w:val="4C076645"/>
    <w:rsid w:val="5557002E"/>
    <w:rsid w:val="57160009"/>
    <w:rsid w:val="579C0A95"/>
    <w:rsid w:val="5B501F0F"/>
    <w:rsid w:val="5E445DC2"/>
    <w:rsid w:val="62821AAC"/>
    <w:rsid w:val="63D16B79"/>
    <w:rsid w:val="6722228D"/>
    <w:rsid w:val="68062622"/>
    <w:rsid w:val="6BCA4B1F"/>
    <w:rsid w:val="6E3B0389"/>
    <w:rsid w:val="719637A5"/>
    <w:rsid w:val="731323A8"/>
    <w:rsid w:val="73EA0CFB"/>
    <w:rsid w:val="75E2400C"/>
    <w:rsid w:val="779E71CD"/>
    <w:rsid w:val="7E645D4D"/>
    <w:rsid w:val="7FA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2431</Words>
  <Characters>2736</Characters>
  <Lines>19</Lines>
  <Paragraphs>5</Paragraphs>
  <TotalTime>29</TotalTime>
  <ScaleCrop>false</ScaleCrop>
  <LinksUpToDate>false</LinksUpToDate>
  <CharactersWithSpaces>2790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黄静</cp:lastModifiedBy>
  <dcterms:modified xsi:type="dcterms:W3CDTF">2023-08-21T07:39:43Z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84DA94730D854FD0B388C29631543B47</vt:lpwstr>
  </property>
</Properties>
</file>