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宋体" w:eastAsia="仿宋_GB2312" w:cs="仿宋_GB2312"/>
          <w:bCs/>
          <w:color w:val="000000"/>
          <w:sz w:val="32"/>
          <w:szCs w:val="36"/>
          <w:lang w:eastAsia="zh-CN"/>
        </w:rPr>
      </w:pPr>
      <w:r>
        <w:rPr>
          <w:rFonts w:hint="eastAsia" w:ascii="仿宋_GB2312" w:hAnsi="宋体" w:eastAsia="仿宋_GB2312" w:cs="仿宋_GB2312"/>
          <w:bCs/>
          <w:color w:val="000000"/>
          <w:sz w:val="32"/>
          <w:szCs w:val="36"/>
        </w:rPr>
        <w:t>附件</w:t>
      </w:r>
      <w:r>
        <w:rPr>
          <w:rFonts w:hint="eastAsia" w:ascii="仿宋_GB2312" w:hAnsi="宋体" w:eastAsia="仿宋_GB2312" w:cs="仿宋_GB2312"/>
          <w:bCs/>
          <w:color w:val="000000"/>
          <w:sz w:val="32"/>
          <w:szCs w:val="36"/>
          <w:lang w:val="en-US" w:eastAsia="zh-CN"/>
        </w:rPr>
        <w:t>5</w:t>
      </w:r>
    </w:p>
    <w:p>
      <w:pPr>
        <w:spacing w:line="640" w:lineRule="exact"/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市</w:t>
      </w:r>
      <w:r>
        <w:rPr>
          <w:rFonts w:hint="eastAsia" w:ascii="方正小标宋简体" w:hAnsi="黑体" w:eastAsia="方正小标宋简体" w:cs="仿宋_GB2312"/>
          <w:sz w:val="36"/>
          <w:szCs w:val="36"/>
          <w:lang w:eastAsia="zh-CN"/>
        </w:rPr>
        <w:t>、县</w:t>
      </w:r>
      <w:r>
        <w:rPr>
          <w:rFonts w:hint="eastAsia" w:ascii="方正小标宋简体" w:hAnsi="黑体" w:eastAsia="方正小标宋简体" w:cs="仿宋_GB2312"/>
          <w:sz w:val="36"/>
          <w:szCs w:val="36"/>
        </w:rPr>
        <w:t>食用农产品快速检验结果汇总表</w:t>
      </w:r>
    </w:p>
    <w:tbl>
      <w:tblPr>
        <w:tblStyle w:val="5"/>
        <w:tblpPr w:leftFromText="180" w:rightFromText="180" w:vertAnchor="text" w:horzAnchor="page" w:tblpX="511" w:tblpY="369"/>
        <w:tblW w:w="15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1560"/>
        <w:gridCol w:w="992"/>
        <w:gridCol w:w="992"/>
        <w:gridCol w:w="851"/>
        <w:gridCol w:w="1134"/>
        <w:gridCol w:w="1134"/>
        <w:gridCol w:w="1134"/>
        <w:gridCol w:w="992"/>
        <w:gridCol w:w="1276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食品亚类（二级）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食品品种（三级）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食品细类（四级）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快检数量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（批次）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合格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（批次）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不合格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（批次）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不合格明细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全年累计快检情况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产品名称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抽样地点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快检单位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快检结果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是否复检及复检结果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快检数量（批次）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合格（批次）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不合格（批次）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畜禽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肉及副产品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畜禽肉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畜肉、禽肉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畜禽副产品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畜内脏、禽内脏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鲜蛋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鲜蛋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鲜蛋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蔬菜类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蔬菜（含冬季大棚蔬菜）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韭菜（鳞茎类蔬菜）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结球甘蓝、结球生菜、花椰菜（芸薹属类蔬菜）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菠菜、芹菜、普通白菜（叶菜类蔬菜）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茄子、辣椒、番茄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（茄果类蔬菜）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黄瓜（瓜类蔬菜）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菜豆、豇豆（豆类蔬菜）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生姜、马铃薯（根茎类和薯芋类蔬菜）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鲜食用菌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豆芽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水产品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淡水产品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淡水鱼、淡水虾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海水产品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海水鱼、海水虾、海水蟹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软体动物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鱿鱼、章鱼、墨鱼、海参、海肠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水果类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柑橘类、梨果类、核果类、浆果和其他小粒水果、瓜果类、热带及亚热带水果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苹果、梨、桃、荔枝、龙眼、柑橘等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pacing w:line="340" w:lineRule="exact"/>
        <w:rPr>
          <w:rFonts w:ascii="黑体" w:eastAsia="黑体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填报单位（盖章）：</w:t>
      </w:r>
      <w:r>
        <w:rPr>
          <w:rFonts w:ascii="仿宋_GB2312" w:hAnsi="宋体" w:eastAsia="仿宋_GB2312" w:cs="宋体"/>
          <w:kern w:val="0"/>
          <w:sz w:val="24"/>
        </w:rPr>
        <w:t xml:space="preserve">                           </w:t>
      </w:r>
      <w:r>
        <w:rPr>
          <w:rFonts w:hint="eastAsia" w:ascii="仿宋_GB2312" w:hAnsi="宋体" w:eastAsia="仿宋_GB2312" w:cs="宋体"/>
          <w:kern w:val="0"/>
          <w:sz w:val="24"/>
        </w:rPr>
        <w:t>填报人及联系电话：</w:t>
      </w:r>
      <w:r>
        <w:rPr>
          <w:rFonts w:ascii="仿宋_GB2312" w:hAnsi="宋体" w:eastAsia="仿宋_GB2312" w:cs="宋体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 w:cs="宋体"/>
          <w:kern w:val="0"/>
          <w:sz w:val="24"/>
        </w:rPr>
        <w:t>填报日期：</w:t>
      </w:r>
      <w:r>
        <w:rPr>
          <w:rFonts w:ascii="仿宋_GB2312" w:hAnsi="宋体" w:eastAsia="仿宋_GB2312" w:cs="宋体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>
      <w:pPr>
        <w:spacing w:line="340" w:lineRule="exact"/>
        <w:ind w:left="960" w:hanging="960" w:hangingChars="4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ascii="仿宋_GB2312" w:eastAsia="仿宋_GB2312"/>
          <w:sz w:val="24"/>
          <w:szCs w:val="24"/>
        </w:rPr>
        <w:t>1.</w:t>
      </w:r>
      <w:r>
        <w:rPr>
          <w:rFonts w:hint="eastAsia" w:ascii="仿宋_GB2312" w:eastAsia="仿宋_GB2312"/>
          <w:sz w:val="24"/>
          <w:szCs w:val="24"/>
        </w:rPr>
        <w:t>该表一个月报一次，由</w:t>
      </w:r>
      <w:r>
        <w:rPr>
          <w:rFonts w:hint="eastAsia" w:ascii="仿宋_GB2312" w:eastAsia="仿宋_GB2312"/>
          <w:sz w:val="24"/>
          <w:szCs w:val="24"/>
          <w:lang w:eastAsia="zh-CN"/>
        </w:rPr>
        <w:t>县局</w:t>
      </w:r>
      <w:r>
        <w:rPr>
          <w:rFonts w:hint="eastAsia" w:ascii="仿宋_GB2312" w:eastAsia="仿宋_GB2312"/>
          <w:sz w:val="24"/>
          <w:szCs w:val="24"/>
        </w:rPr>
        <w:t>汇总监管所快检结果，于每月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5日前将结果报送市局；</w:t>
      </w:r>
    </w:p>
    <w:p>
      <w:pPr>
        <w:pStyle w:val="6"/>
        <w:spacing w:line="340" w:lineRule="exact"/>
        <w:ind w:firstLine="720" w:firstLineChars="300"/>
        <w:rPr>
          <w:rFonts w:ascii="仿宋_GB2312" w:hAnsi="仿宋_GB2312" w:eastAsia="仿宋_GB2312"/>
          <w:color w:val="000000"/>
        </w:rPr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hint="eastAsia" w:ascii="仿宋_GB2312" w:eastAsia="仿宋_GB2312"/>
          <w:sz w:val="24"/>
          <w:szCs w:val="24"/>
        </w:rPr>
        <w:t>联系人：</w:t>
      </w:r>
      <w:r>
        <w:rPr>
          <w:rFonts w:hint="eastAsia" w:ascii="仿宋_GB2312" w:eastAsia="仿宋_GB2312"/>
          <w:sz w:val="24"/>
          <w:szCs w:val="24"/>
          <w:lang w:eastAsia="zh-CN"/>
        </w:rPr>
        <w:t>贺一栗</w:t>
      </w:r>
      <w:r>
        <w:rPr>
          <w:rFonts w:hint="eastAsia" w:ascii="仿宋_GB2312" w:eastAsia="仿宋_GB2312"/>
          <w:sz w:val="24"/>
          <w:szCs w:val="24"/>
        </w:rPr>
        <w:t>，联系电话：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029-87115699</w:t>
      </w:r>
      <w:r>
        <w:rPr>
          <w:rFonts w:hint="eastAsia" w:ascii="仿宋_GB2312" w:hAnsi="仿宋_GB2312" w:eastAsia="仿宋_GB2312"/>
          <w:color w:val="000000"/>
        </w:rPr>
        <w:t>。</w:t>
      </w:r>
    </w:p>
    <w:p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00" w:firstLineChars="200"/>
    </w:pPr>
    <w:rPr>
      <w:rFonts w:ascii="Calibri" w:hAnsi="Calibri" w:eastAsia="仿宋_GB2312"/>
      <w:sz w:val="30"/>
      <w:szCs w:val="20"/>
    </w:rPr>
  </w:style>
  <w:style w:type="paragraph" w:styleId="3">
    <w:name w:val="Body Text First Indent 2"/>
    <w:basedOn w:val="2"/>
    <w:uiPriority w:val="0"/>
    <w:pPr>
      <w:ind w:firstLine="420"/>
    </w:p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2023-05-31T08:43:21Z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