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66" w:rsidRPr="005E6D66" w:rsidRDefault="005E6D66" w:rsidP="005E6D66">
      <w:pPr>
        <w:overflowPunct w:val="0"/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5E6D66">
        <w:rPr>
          <w:rFonts w:ascii="方正小标宋简体" w:eastAsia="方正小标宋简体" w:hAnsi="Calibri" w:cs="Times New Roman" w:hint="eastAsia"/>
          <w:sz w:val="44"/>
          <w:szCs w:val="44"/>
        </w:rPr>
        <w:t>周至县村（社区）便民服务站标准化</w:t>
      </w:r>
    </w:p>
    <w:p w:rsidR="005E6D66" w:rsidRPr="005E6D66" w:rsidRDefault="005E6D66" w:rsidP="005E6D66">
      <w:pPr>
        <w:overflowPunct w:val="0"/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5E6D66">
        <w:rPr>
          <w:rFonts w:ascii="方正小标宋简体" w:eastAsia="方正小标宋简体" w:hAnsi="Calibri" w:cs="Times New Roman" w:hint="eastAsia"/>
          <w:sz w:val="44"/>
          <w:szCs w:val="44"/>
        </w:rPr>
        <w:t>建设指导意见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E6D66">
        <w:rPr>
          <w:rFonts w:ascii="黑体" w:eastAsia="黑体" w:hAnsi="黑体" w:cs="Times New Roman" w:hint="eastAsia"/>
          <w:sz w:val="32"/>
          <w:szCs w:val="32"/>
        </w:rPr>
        <w:t>一、机构设置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楷体_GB2312" w:eastAsia="楷体_GB2312" w:hAnsi="Calibri" w:cs="Times New Roman"/>
          <w:sz w:val="32"/>
          <w:szCs w:val="32"/>
        </w:rPr>
      </w:pPr>
      <w:r w:rsidRPr="005E6D66">
        <w:rPr>
          <w:rFonts w:ascii="仿宋_GB2312" w:eastAsia="仿宋_GB2312" w:hAnsi="Calibri" w:cs="Times New Roman" w:hint="eastAsia"/>
          <w:color w:val="000000"/>
          <w:sz w:val="32"/>
          <w:szCs w:val="32"/>
        </w:rPr>
        <w:t>（</w:t>
      </w:r>
      <w:r w:rsidRPr="005E6D66">
        <w:rPr>
          <w:rFonts w:ascii="楷体_GB2312" w:eastAsia="楷体_GB2312" w:hAnsi="Calibri" w:cs="Times New Roman" w:hint="eastAsia"/>
          <w:sz w:val="32"/>
          <w:szCs w:val="32"/>
        </w:rPr>
        <w:t>一）机构名称。</w:t>
      </w:r>
      <w:r w:rsidRPr="005E6D66">
        <w:rPr>
          <w:rFonts w:ascii="仿宋_GB2312" w:eastAsia="仿宋_GB2312" w:hAnsi="Calibri" w:cs="Times New Roman" w:hint="eastAsia"/>
          <w:color w:val="000000"/>
          <w:sz w:val="32"/>
          <w:szCs w:val="32"/>
        </w:rPr>
        <w:t>村（社区）便民服务站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名称统一为“×××镇（街道）×××村（社区）便民服务站”。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5E6D66">
        <w:rPr>
          <w:rFonts w:ascii="楷体_GB2312" w:eastAsia="楷体_GB2312" w:hAnsi="Calibri" w:cs="Times New Roman" w:hint="eastAsia"/>
          <w:sz w:val="32"/>
          <w:szCs w:val="32"/>
        </w:rPr>
        <w:t>（二）人员配备。</w:t>
      </w:r>
      <w:r w:rsidRPr="005E6D66">
        <w:rPr>
          <w:rFonts w:ascii="仿宋_GB2312" w:eastAsia="仿宋_GB2312" w:hAnsi="Calibri" w:cs="Times New Roman" w:hint="eastAsia"/>
          <w:color w:val="000000"/>
          <w:sz w:val="32"/>
          <w:szCs w:val="32"/>
        </w:rPr>
        <w:t>村（社区）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便民服务站需配备综合受理人员、代办服务人员，所有人员培训合格后方可上岗，并统一着装。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E6D66">
        <w:rPr>
          <w:rFonts w:ascii="黑体" w:eastAsia="黑体" w:hAnsi="黑体" w:cs="Times New Roman" w:hint="eastAsia"/>
          <w:sz w:val="32"/>
          <w:szCs w:val="32"/>
        </w:rPr>
        <w:t>二、场所建设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5E6D66">
        <w:rPr>
          <w:rFonts w:ascii="楷体_GB2312" w:eastAsia="楷体_GB2312" w:hAnsi="Calibri" w:cs="Times New Roman" w:hint="eastAsia"/>
          <w:sz w:val="32"/>
          <w:szCs w:val="32"/>
        </w:rPr>
        <w:t>（一）选址。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坚持经济实用、因地制宜、符合规范、确保需求的原则，在本区域位置适中、交</w:t>
      </w:r>
      <w:r w:rsidRPr="005E6D66">
        <w:rPr>
          <w:rFonts w:ascii="仿宋_GB2312" w:eastAsia="仿宋_GB2312" w:hAnsi="Calibri" w:cs="Times New Roman" w:hint="eastAsia"/>
          <w:color w:val="000000"/>
          <w:sz w:val="32"/>
          <w:szCs w:val="32"/>
        </w:rPr>
        <w:t>通便利、方便企业和群众办事的地点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设置</w:t>
      </w:r>
      <w:r w:rsidRPr="005E6D66">
        <w:rPr>
          <w:rFonts w:ascii="仿宋_GB2312" w:eastAsia="仿宋_GB2312" w:hAnsi="Calibri" w:cs="Times New Roman" w:hint="eastAsia"/>
          <w:color w:val="000000"/>
          <w:sz w:val="32"/>
          <w:szCs w:val="32"/>
        </w:rPr>
        <w:t>村（社区）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便民服务中站，</w:t>
      </w:r>
      <w:r w:rsidRPr="005E6D66">
        <w:rPr>
          <w:rFonts w:ascii="仿宋_GB2312" w:eastAsia="仿宋_GB2312" w:hAnsi="Calibri" w:cs="Times New Roman" w:hint="eastAsia"/>
          <w:color w:val="000000"/>
          <w:sz w:val="32"/>
          <w:szCs w:val="32"/>
        </w:rPr>
        <w:t>原则上应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位于高层建筑低层。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5E6D66">
        <w:rPr>
          <w:rFonts w:ascii="楷体_GB2312" w:eastAsia="楷体_GB2312" w:hAnsi="Calibri" w:cs="Times New Roman" w:hint="eastAsia"/>
          <w:color w:val="000000"/>
          <w:sz w:val="32"/>
          <w:szCs w:val="32"/>
        </w:rPr>
        <w:t>（二）</w:t>
      </w:r>
      <w:r w:rsidRPr="005E6D66">
        <w:rPr>
          <w:rFonts w:ascii="楷体_GB2312" w:eastAsia="楷体_GB2312" w:hAnsi="Calibri" w:cs="Times New Roman" w:hint="eastAsia"/>
          <w:sz w:val="32"/>
          <w:szCs w:val="32"/>
        </w:rPr>
        <w:t>规模。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根据本区域人口总量、经济社会发展水平，</w:t>
      </w:r>
      <w:r w:rsidRPr="005E6D66">
        <w:rPr>
          <w:rFonts w:ascii="仿宋_GB2312" w:eastAsia="仿宋_GB2312" w:hAnsi="黑体" w:cs="Times New Roman" w:hint="eastAsia"/>
          <w:sz w:val="32"/>
          <w:szCs w:val="32"/>
        </w:rPr>
        <w:t>整合利用现有各类服务场所设立便民服务站，规模面积应不小于</w:t>
      </w:r>
      <w:r w:rsidRPr="005E6D66">
        <w:rPr>
          <w:rFonts w:ascii="仿宋_GB2312" w:eastAsia="仿宋_GB2312" w:hAnsi="黑体" w:cs="Times New Roman"/>
          <w:sz w:val="32"/>
          <w:szCs w:val="32"/>
        </w:rPr>
        <w:t>60</w:t>
      </w:r>
      <w:r w:rsidRPr="005E6D66">
        <w:rPr>
          <w:rFonts w:ascii="仿宋_GB2312" w:eastAsia="仿宋_GB2312" w:hAnsi="黑体" w:cs="Times New Roman" w:hint="eastAsia"/>
          <w:sz w:val="32"/>
          <w:szCs w:val="32"/>
        </w:rPr>
        <w:t>平方米，并满足本级政务事项全部办理的要求。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5E6D66">
        <w:rPr>
          <w:rFonts w:ascii="楷体_GB2312" w:eastAsia="楷体_GB2312" w:hAnsi="Calibri" w:cs="Times New Roman" w:hint="eastAsia"/>
          <w:sz w:val="32"/>
          <w:szCs w:val="32"/>
        </w:rPr>
        <w:t>（三）风格。</w:t>
      </w:r>
      <w:r w:rsidRPr="005E6D66">
        <w:rPr>
          <w:rFonts w:ascii="仿宋_GB2312" w:eastAsia="仿宋_GB2312" w:hAnsi="黑体" w:cs="Times New Roman" w:hint="eastAsia"/>
          <w:sz w:val="32"/>
          <w:szCs w:val="32"/>
        </w:rPr>
        <w:t>按照省上要求，统一便民服务站的标识（</w:t>
      </w:r>
      <w:r w:rsidRPr="005E6D66">
        <w:rPr>
          <w:rFonts w:ascii="仿宋_GB2312" w:eastAsia="仿宋_GB2312" w:hAnsi="黑体" w:cs="Times New Roman"/>
          <w:sz w:val="32"/>
          <w:szCs w:val="32"/>
        </w:rPr>
        <w:t>Logo</w:t>
      </w:r>
      <w:r w:rsidRPr="005E6D66">
        <w:rPr>
          <w:rFonts w:ascii="仿宋_GB2312" w:eastAsia="仿宋_GB2312" w:hAnsi="黑体" w:cs="Times New Roman" w:hint="eastAsia"/>
          <w:sz w:val="32"/>
          <w:szCs w:val="32"/>
        </w:rPr>
        <w:t>），提升全县政务服务整体形象。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ahoma" w:cs="Times New Roman"/>
          <w:kern w:val="0"/>
          <w:sz w:val="32"/>
          <w:szCs w:val="32"/>
        </w:rPr>
      </w:pPr>
      <w:r w:rsidRPr="005E6D66">
        <w:rPr>
          <w:rFonts w:ascii="楷体_GB2312" w:eastAsia="楷体_GB2312" w:hAnsi="Tahoma" w:cs="Times New Roman" w:hint="eastAsia"/>
          <w:kern w:val="0"/>
          <w:sz w:val="32"/>
          <w:szCs w:val="32"/>
        </w:rPr>
        <w:t>（四）服务分区。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根据服务内容，</w:t>
      </w:r>
      <w:r w:rsidRPr="005E6D6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村（社区）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便民服务站需要划分为“咨询导引区”“服务等候区”“窗口办理区”“自助服务区”等。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ahoma" w:cs="Times New Roman"/>
          <w:kern w:val="0"/>
          <w:sz w:val="32"/>
          <w:szCs w:val="32"/>
        </w:rPr>
      </w:pPr>
      <w:r w:rsidRPr="005E6D66">
        <w:rPr>
          <w:rFonts w:ascii="仿宋_GB2312" w:eastAsia="仿宋_GB2312" w:hAnsi="Tahoma" w:cs="Times New Roman"/>
          <w:kern w:val="0"/>
          <w:sz w:val="32"/>
          <w:szCs w:val="32"/>
        </w:rPr>
        <w:t>1.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咨询导引区。位于建筑主入口附近，应设置咨询导引服务台、政策咨询及信息查询设施。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ahoma" w:cs="Times New Roman"/>
          <w:kern w:val="0"/>
          <w:sz w:val="32"/>
          <w:szCs w:val="32"/>
        </w:rPr>
      </w:pPr>
      <w:r w:rsidRPr="005E6D66">
        <w:rPr>
          <w:rFonts w:ascii="仿宋_GB2312" w:eastAsia="仿宋_GB2312" w:hAnsi="Tahoma" w:cs="Times New Roman"/>
          <w:kern w:val="0"/>
          <w:sz w:val="32"/>
          <w:szCs w:val="32"/>
        </w:rPr>
        <w:lastRenderedPageBreak/>
        <w:t>2.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服务等候区。位于窗口附近，应配备一定数量的座椅及自助填单区。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ahoma" w:cs="Times New Roman"/>
          <w:kern w:val="0"/>
          <w:sz w:val="32"/>
          <w:szCs w:val="32"/>
        </w:rPr>
      </w:pPr>
      <w:r w:rsidRPr="005E6D66">
        <w:rPr>
          <w:rFonts w:ascii="仿宋_GB2312" w:eastAsia="仿宋_GB2312" w:hAnsi="Tahoma" w:cs="Times New Roman"/>
          <w:kern w:val="0"/>
          <w:sz w:val="32"/>
          <w:szCs w:val="32"/>
        </w:rPr>
        <w:t>3.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窗口办理区。需要划分为开放式工作前后台，台面高度宜为</w:t>
      </w:r>
      <w:r w:rsidRPr="005E6D66">
        <w:rPr>
          <w:rFonts w:ascii="仿宋_GB2312" w:eastAsia="仿宋_GB2312" w:hAnsi="Tahoma" w:cs="Times New Roman"/>
          <w:kern w:val="0"/>
          <w:sz w:val="32"/>
          <w:szCs w:val="32"/>
        </w:rPr>
        <w:t>75 cm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左右，宽为</w:t>
      </w:r>
      <w:r w:rsidRPr="005E6D66">
        <w:rPr>
          <w:rFonts w:ascii="仿宋_GB2312" w:eastAsia="仿宋_GB2312" w:hAnsi="Tahoma" w:cs="Times New Roman"/>
          <w:kern w:val="0"/>
          <w:sz w:val="32"/>
          <w:szCs w:val="32"/>
        </w:rPr>
        <w:t>75 cm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～</w:t>
      </w:r>
      <w:r w:rsidRPr="005E6D66">
        <w:rPr>
          <w:rFonts w:ascii="仿宋_GB2312" w:eastAsia="仿宋_GB2312" w:hAnsi="Tahoma" w:cs="Times New Roman"/>
          <w:kern w:val="0"/>
          <w:sz w:val="32"/>
          <w:szCs w:val="32"/>
        </w:rPr>
        <w:t>100 cm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，台面上方应悬挂标识牌。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ahoma" w:cs="Times New Roman"/>
          <w:kern w:val="0"/>
          <w:sz w:val="32"/>
          <w:szCs w:val="32"/>
        </w:rPr>
      </w:pPr>
      <w:r w:rsidRPr="005E6D66">
        <w:rPr>
          <w:rFonts w:ascii="仿宋_GB2312" w:eastAsia="仿宋_GB2312" w:hAnsi="Tahoma" w:cs="Times New Roman"/>
          <w:kern w:val="0"/>
          <w:sz w:val="32"/>
          <w:szCs w:val="32"/>
        </w:rPr>
        <w:t>4.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自助服务区。应配备一定数量的自助服务设施。可根据各自实际，在保证功能的前提下，对服务区进行调整整合。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5E6D66">
        <w:rPr>
          <w:rFonts w:ascii="楷体_GB2312" w:eastAsia="楷体_GB2312" w:hAnsi="Calibri" w:cs="Times New Roman" w:hint="eastAsia"/>
          <w:sz w:val="32"/>
          <w:szCs w:val="32"/>
        </w:rPr>
        <w:t>（五）消防设施。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主体建筑应按《人员密集场所消防安全管理</w:t>
      </w:r>
      <w:r w:rsidRPr="005E6D66">
        <w:rPr>
          <w:rFonts w:ascii="仿宋_GB2312" w:eastAsia="仿宋_GB2312" w:hAnsi="Calibri" w:cs="Times New Roman"/>
          <w:sz w:val="32"/>
          <w:szCs w:val="32"/>
        </w:rPr>
        <w:t>(GA 654-2006)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》相关标准，配置消防设施，安装防火灭火系统，设置紧急逃生通道等。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E6D66">
        <w:rPr>
          <w:rFonts w:ascii="黑体" w:eastAsia="黑体" w:hAnsi="黑体" w:cs="Times New Roman" w:hint="eastAsia"/>
          <w:sz w:val="32"/>
          <w:szCs w:val="32"/>
        </w:rPr>
        <w:t>三、运行模式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楷体_GB2312" w:eastAsia="楷体_GB2312" w:hAnsi="Calibri" w:cs="Times New Roman"/>
          <w:sz w:val="32"/>
          <w:szCs w:val="32"/>
        </w:rPr>
      </w:pPr>
      <w:r w:rsidRPr="005E6D66">
        <w:rPr>
          <w:rFonts w:ascii="楷体_GB2312" w:eastAsia="楷体_GB2312" w:hAnsi="Calibri" w:cs="Times New Roman" w:hint="eastAsia"/>
          <w:sz w:val="32"/>
          <w:szCs w:val="32"/>
        </w:rPr>
        <w:t>（一）综合窗口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Pr="005E6D66">
        <w:rPr>
          <w:rFonts w:ascii="仿宋_GB2312" w:eastAsia="仿宋_GB2312" w:hAnsi="Calibri" w:cs="Times New Roman" w:hint="eastAsia"/>
          <w:color w:val="000000"/>
          <w:sz w:val="32"/>
          <w:szCs w:val="32"/>
        </w:rPr>
        <w:t>村（社区）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便民服务站作为镇（街）便民服务中心的延伸窗口，根据辖区人口数量和业务量合理设置窗口数量，实行“前台综合受理、后台分类审批、统一窗口出件”的服务模式。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楷体_GB2312" w:eastAsia="楷体_GB2312" w:hAnsi="Calibri" w:cs="Times New Roman"/>
          <w:sz w:val="32"/>
          <w:szCs w:val="32"/>
        </w:rPr>
      </w:pPr>
      <w:r w:rsidRPr="005E6D66">
        <w:rPr>
          <w:rFonts w:ascii="楷体_GB2312" w:eastAsia="楷体_GB2312" w:hAnsi="Calibri" w:cs="Times New Roman" w:hint="eastAsia"/>
          <w:sz w:val="32"/>
          <w:szCs w:val="32"/>
        </w:rPr>
        <w:t>（三）互联网</w:t>
      </w:r>
      <w:r w:rsidRPr="005E6D66">
        <w:rPr>
          <w:rFonts w:ascii="楷体_GB2312" w:eastAsia="楷体_GB2312" w:hAnsi="Calibri" w:cs="Times New Roman"/>
          <w:sz w:val="32"/>
          <w:szCs w:val="32"/>
        </w:rPr>
        <w:t>+</w:t>
      </w:r>
      <w:r w:rsidRPr="005E6D66">
        <w:rPr>
          <w:rFonts w:ascii="楷体_GB2312" w:eastAsia="楷体_GB2312" w:hAnsi="Calibri" w:cs="Times New Roman" w:hint="eastAsia"/>
          <w:sz w:val="32"/>
          <w:szCs w:val="32"/>
        </w:rPr>
        <w:t>政务服务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Pr="005E6D66">
        <w:rPr>
          <w:rFonts w:ascii="仿宋_GB2312" w:eastAsia="仿宋_GB2312" w:hAnsi="Calibri" w:cs="Times New Roman" w:hint="eastAsia"/>
          <w:color w:val="000000"/>
          <w:sz w:val="32"/>
          <w:szCs w:val="32"/>
        </w:rPr>
        <w:t>推动政务服务“一网通办”向基层延伸，西安政务服务网铺设到位，</w:t>
      </w:r>
      <w:r w:rsidRPr="005E6D66">
        <w:rPr>
          <w:rFonts w:ascii="仿宋_GB2312" w:eastAsia="仿宋_GB2312" w:hAnsi="微软雅黑" w:cs="Times New Roman" w:hint="eastAsia"/>
          <w:color w:val="000000"/>
          <w:sz w:val="32"/>
          <w:szCs w:val="32"/>
        </w:rPr>
        <w:t>完善基层政务服务平台功能，形成市、区县、镇（街）、村（社区）四级“互联网</w:t>
      </w:r>
      <w:r w:rsidRPr="005E6D66">
        <w:rPr>
          <w:rFonts w:ascii="仿宋_GB2312" w:eastAsia="仿宋_GB2312" w:hAnsi="微软雅黑" w:cs="Times New Roman"/>
          <w:color w:val="000000"/>
          <w:sz w:val="32"/>
          <w:szCs w:val="32"/>
        </w:rPr>
        <w:t>+</w:t>
      </w:r>
      <w:r w:rsidRPr="005E6D66">
        <w:rPr>
          <w:rFonts w:ascii="仿宋_GB2312" w:eastAsia="仿宋_GB2312" w:hAnsi="微软雅黑" w:cs="Times New Roman" w:hint="eastAsia"/>
          <w:color w:val="000000"/>
          <w:sz w:val="32"/>
          <w:szCs w:val="32"/>
        </w:rPr>
        <w:t>政务服务”体系，</w:t>
      </w:r>
      <w:r w:rsidRPr="005E6D66">
        <w:rPr>
          <w:rFonts w:ascii="仿宋_GB2312" w:eastAsia="仿宋_GB2312" w:hAnsi="Calibri" w:cs="Times New Roman" w:hint="eastAsia"/>
          <w:color w:val="000000"/>
          <w:sz w:val="32"/>
          <w:szCs w:val="32"/>
        </w:rPr>
        <w:t>开展进驻事项网上预约、网上申报、上下联办。鼓励各地依托全市一体化在线政务服务平台，搭建有特色、有特定功能的服务模块，提高网上政务服务能力。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黑体" w:eastAsia="黑体" w:hAnsi="黑体" w:cs="Times New Roman"/>
          <w:kern w:val="0"/>
          <w:sz w:val="32"/>
          <w:szCs w:val="32"/>
        </w:rPr>
      </w:pPr>
      <w:r w:rsidRPr="005E6D66">
        <w:rPr>
          <w:rFonts w:ascii="黑体" w:eastAsia="黑体" w:hAnsi="黑体" w:cs="Times New Roman" w:hint="eastAsia"/>
          <w:kern w:val="0"/>
          <w:sz w:val="32"/>
          <w:szCs w:val="32"/>
        </w:rPr>
        <w:t>四、标识系统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6D6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村（社区）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便民服务站的标识主要包含工作时间标识、导引示意标识、电子公示屏、工作牌、消防安全标志等。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6D66">
        <w:rPr>
          <w:rFonts w:ascii="楷体_GB2312" w:eastAsia="楷体_GB2312" w:hAnsi="Times New Roman" w:cs="Times New Roman" w:hint="eastAsia"/>
          <w:kern w:val="0"/>
          <w:sz w:val="32"/>
          <w:szCs w:val="32"/>
        </w:rPr>
        <w:lastRenderedPageBreak/>
        <w:t>（一）工作时间标识。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在服务大厅大门口显著位置，向服务对象公示上下班时间，每天对外服务工作时间不得少于</w:t>
      </w:r>
      <w:r w:rsidRPr="005E6D66">
        <w:rPr>
          <w:rFonts w:ascii="仿宋_GB2312" w:eastAsia="仿宋_GB2312" w:hAnsi="Times New Roman" w:cs="Times New Roman"/>
          <w:kern w:val="0"/>
          <w:sz w:val="32"/>
          <w:szCs w:val="32"/>
        </w:rPr>
        <w:t>7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小时。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ahoma" w:cs="Times New Roman"/>
          <w:kern w:val="0"/>
          <w:sz w:val="32"/>
          <w:szCs w:val="32"/>
        </w:rPr>
      </w:pPr>
      <w:r w:rsidRPr="005E6D66">
        <w:rPr>
          <w:rFonts w:ascii="楷体_GB2312" w:eastAsia="楷体_GB2312" w:hAnsi="Tahoma" w:cs="Times New Roman" w:hint="eastAsia"/>
          <w:kern w:val="0"/>
          <w:sz w:val="32"/>
          <w:szCs w:val="32"/>
        </w:rPr>
        <w:t>（二）导引示意标识。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包括位置标志、导向标志、平面示意图、信息板等。其中，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在服务大厅入口显著位置，设置导引牌。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6D66">
        <w:rPr>
          <w:rFonts w:ascii="楷体_GB2312" w:eastAsia="楷体_GB2312" w:hAnsi="Tahoma" w:cs="Times New Roman" w:hint="eastAsia"/>
          <w:kern w:val="0"/>
          <w:sz w:val="32"/>
          <w:szCs w:val="32"/>
        </w:rPr>
        <w:t>（三）电子公示屏。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服务大厅窗口均应设置窗口吊牌（</w:t>
      </w:r>
      <w:r w:rsidRPr="005E6D66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或电子显示屏），在显著位置电子公示屏，公示便民服务站事项清单；在各个功能区，电子显示屏滚动公示办理状况。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6D66">
        <w:rPr>
          <w:rFonts w:ascii="楷体_GB2312" w:eastAsia="楷体_GB2312" w:hAnsi="Tahoma" w:cs="Times New Roman" w:hint="eastAsia"/>
          <w:kern w:val="0"/>
          <w:sz w:val="32"/>
          <w:szCs w:val="32"/>
        </w:rPr>
        <w:t>（四）工作人员身份牌。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便民服务站工作人员，必须佩带工作牌，内容应包括工作人员姓名、所属部门、具体岗位、照片等基本信息。</w:t>
      </w:r>
    </w:p>
    <w:p w:rsidR="005E6D66" w:rsidRPr="005E6D66" w:rsidRDefault="005E6D66" w:rsidP="005E6D66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Tahoma" w:cs="Times New Roman"/>
          <w:kern w:val="0"/>
          <w:sz w:val="32"/>
          <w:szCs w:val="32"/>
        </w:rPr>
      </w:pPr>
      <w:r w:rsidRPr="005E6D66">
        <w:rPr>
          <w:rFonts w:ascii="楷体_GB2312" w:eastAsia="楷体_GB2312" w:hAnsi="Tahoma" w:cs="Times New Roman" w:hint="eastAsia"/>
          <w:kern w:val="0"/>
          <w:sz w:val="32"/>
          <w:szCs w:val="32"/>
        </w:rPr>
        <w:t>（五）消防安全标志。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服务大厅的消防安全标志须选用</w:t>
      </w:r>
      <w:r w:rsidRPr="005E6D66">
        <w:rPr>
          <w:rFonts w:ascii="仿宋_GB2312" w:eastAsia="仿宋_GB2312" w:hAnsi="Tahoma" w:cs="Times New Roman"/>
          <w:kern w:val="0"/>
          <w:sz w:val="32"/>
          <w:szCs w:val="32"/>
        </w:rPr>
        <w:t>GB13495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的标志，颜色应符合</w:t>
      </w:r>
      <w:r w:rsidRPr="005E6D66">
        <w:rPr>
          <w:rFonts w:ascii="仿宋_GB2312" w:eastAsia="仿宋_GB2312" w:hAnsi="Tahoma" w:cs="Times New Roman"/>
          <w:kern w:val="0"/>
          <w:sz w:val="32"/>
          <w:szCs w:val="32"/>
        </w:rPr>
        <w:t>GB2893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的规定，标志设置按照</w:t>
      </w:r>
      <w:r w:rsidRPr="005E6D66">
        <w:rPr>
          <w:rFonts w:ascii="仿宋_GB2312" w:eastAsia="仿宋_GB2312" w:hAnsi="Tahoma" w:cs="Times New Roman"/>
          <w:kern w:val="0"/>
          <w:sz w:val="32"/>
          <w:szCs w:val="32"/>
        </w:rPr>
        <w:t>GB15630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的规定执行。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E6D66">
        <w:rPr>
          <w:rFonts w:ascii="黑体" w:eastAsia="黑体" w:hAnsi="黑体" w:cs="Times New Roman" w:hint="eastAsia"/>
          <w:sz w:val="32"/>
          <w:szCs w:val="32"/>
        </w:rPr>
        <w:t>五、设施配备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5E6D66">
        <w:rPr>
          <w:rFonts w:ascii="仿宋_GB2312" w:eastAsia="仿宋_GB2312" w:hAnsi="Calibri" w:cs="Times New Roman" w:hint="eastAsia"/>
          <w:color w:val="000000"/>
          <w:sz w:val="32"/>
          <w:szCs w:val="32"/>
        </w:rPr>
        <w:t>村（社区）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便民服务中心的设施主要包含大厅设施、窗口设施、网络配置、便民设施等。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5E6D66">
        <w:rPr>
          <w:rFonts w:ascii="楷体_GB2312" w:eastAsia="楷体_GB2312" w:hAnsi="Calibri" w:cs="Times New Roman" w:hint="eastAsia"/>
          <w:sz w:val="32"/>
          <w:szCs w:val="32"/>
        </w:rPr>
        <w:t>（一）大厅设施</w:t>
      </w:r>
      <w:bookmarkStart w:id="0" w:name="_Toc6657"/>
      <w:r w:rsidRPr="005E6D66">
        <w:rPr>
          <w:rFonts w:ascii="楷体_GB2312" w:eastAsia="楷体_GB2312" w:hAnsi="Calibri" w:cs="Times New Roman" w:hint="eastAsia"/>
          <w:sz w:val="32"/>
          <w:szCs w:val="32"/>
        </w:rPr>
        <w:t>。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配置自助抽号机、触摸屏式信息查询设备、多媒体电视屏幕等电子设施，设置意见箱、评议箱等。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ahoma" w:cs="Times New Roman"/>
          <w:color w:val="FF0000"/>
          <w:kern w:val="0"/>
          <w:sz w:val="32"/>
          <w:szCs w:val="32"/>
        </w:rPr>
      </w:pPr>
      <w:bookmarkStart w:id="1" w:name="_Toc17015"/>
      <w:bookmarkEnd w:id="0"/>
      <w:r w:rsidRPr="005E6D66">
        <w:rPr>
          <w:rFonts w:ascii="楷体_GB2312" w:eastAsia="楷体_GB2312" w:hAnsi="Tahoma" w:cs="Times New Roman" w:hint="eastAsia"/>
          <w:kern w:val="0"/>
          <w:sz w:val="32"/>
          <w:szCs w:val="32"/>
        </w:rPr>
        <w:t>（二）</w:t>
      </w:r>
      <w:bookmarkEnd w:id="1"/>
      <w:r w:rsidRPr="005E6D66">
        <w:rPr>
          <w:rFonts w:ascii="楷体_GB2312" w:eastAsia="楷体_GB2312" w:hAnsi="Tahoma" w:cs="Times New Roman" w:hint="eastAsia"/>
          <w:kern w:val="0"/>
          <w:sz w:val="32"/>
          <w:szCs w:val="32"/>
        </w:rPr>
        <w:t>窗口设施。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配置计算机，并根据工作需要配置身份证读卡器、条码扫描器、服务评价器、扫描仪等相关设备。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6D66">
        <w:rPr>
          <w:rFonts w:ascii="楷体_GB2312" w:eastAsia="楷体_GB2312" w:hAnsi="Tahoma" w:cs="Times New Roman" w:hint="eastAsia"/>
          <w:kern w:val="0"/>
          <w:sz w:val="32"/>
          <w:szCs w:val="32"/>
        </w:rPr>
        <w:t>（三）网络配置。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窗口计算机应与电子政务外网连接，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并使用统一的行政审批通用软件。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6D66">
        <w:rPr>
          <w:rFonts w:ascii="楷体_GB2312" w:eastAsia="楷体_GB2312" w:hAnsi="Tahoma" w:cs="Times New Roman" w:hint="eastAsia"/>
          <w:kern w:val="0"/>
          <w:sz w:val="32"/>
          <w:szCs w:val="32"/>
        </w:rPr>
        <w:t>（四）便民设施。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需配备免费的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打印复印机、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饮水机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、手机充电台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、老花镜等便民设备。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E6D66">
        <w:rPr>
          <w:rFonts w:ascii="黑体" w:eastAsia="黑体" w:hAnsi="黑体" w:cs="Times New Roman" w:hint="eastAsia"/>
          <w:sz w:val="32"/>
          <w:szCs w:val="32"/>
        </w:rPr>
        <w:t>六、制度建设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完善制度建设，规范基层便民服务站的日常运行和管理。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（一）制定</w:t>
      </w:r>
      <w:r w:rsidRPr="005E6D6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村（社区）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便民服务站相关管理制度。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（二）建立健全业务管理制度。</w:t>
      </w:r>
      <w:r w:rsidRPr="005E6D6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村（社区）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便民服务站应建立首问负责、一次性告知、限时办结、</w:t>
      </w:r>
      <w:r w:rsidRPr="005E6D66">
        <w:rPr>
          <w:rFonts w:ascii="仿宋_GB2312" w:eastAsia="仿宋_GB2312" w:hAnsi="Times New Roman" w:cs="Times New Roman"/>
          <w:kern w:val="0"/>
          <w:sz w:val="32"/>
          <w:szCs w:val="32"/>
        </w:rPr>
        <w:t>AB</w:t>
      </w: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岗、免费代办服务、考核奖惩等相关制度。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（三）完善信息公开制度，通过各种渠道公布办事指南、办理流程、办理结果等，方便群众查询。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6D6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（四）建立监督投诉制度，公开监督投诉渠道，并在公示栏、电子信息屏展示，方便群众投诉监督。</w:t>
      </w:r>
    </w:p>
    <w:p w:rsidR="005E6D66" w:rsidRPr="005E6D66" w:rsidRDefault="005E6D66" w:rsidP="005E6D66">
      <w:pPr>
        <w:overflowPunct w:val="0"/>
        <w:spacing w:line="560" w:lineRule="exact"/>
        <w:ind w:firstLineChars="200" w:firstLine="640"/>
        <w:outlineLvl w:val="4"/>
        <w:rPr>
          <w:rFonts w:ascii="黑体" w:eastAsia="黑体" w:hAnsi="黑体" w:cs="Times New Roman"/>
          <w:kern w:val="0"/>
          <w:sz w:val="32"/>
          <w:szCs w:val="32"/>
        </w:rPr>
      </w:pPr>
      <w:r w:rsidRPr="005E6D66">
        <w:rPr>
          <w:rFonts w:ascii="黑体" w:eastAsia="黑体" w:hAnsi="黑体" w:cs="Times New Roman" w:hint="eastAsia"/>
          <w:kern w:val="0"/>
          <w:sz w:val="32"/>
          <w:szCs w:val="32"/>
        </w:rPr>
        <w:t>七、安全管理</w:t>
      </w:r>
    </w:p>
    <w:p w:rsidR="005E6D66" w:rsidRPr="005E6D66" w:rsidRDefault="005E6D66" w:rsidP="005E6D66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ahoma" w:cs="Times New Roman"/>
          <w:kern w:val="0"/>
          <w:sz w:val="32"/>
          <w:szCs w:val="32"/>
        </w:rPr>
      </w:pPr>
      <w:r w:rsidRPr="005E6D66">
        <w:rPr>
          <w:rFonts w:ascii="楷体_GB2312" w:eastAsia="楷体_GB2312" w:hAnsi="Tahoma" w:cs="Times New Roman" w:hint="eastAsia"/>
          <w:kern w:val="0"/>
          <w:sz w:val="32"/>
          <w:szCs w:val="32"/>
        </w:rPr>
        <w:t>（一）消防安全。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便民服务中心（站）在投入使用前应通过建筑工程消防验收。</w:t>
      </w:r>
    </w:p>
    <w:p w:rsidR="005E6D66" w:rsidRPr="005E6D66" w:rsidRDefault="005E6D66" w:rsidP="005E6D66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ahoma" w:cs="Times New Roman"/>
          <w:kern w:val="0"/>
          <w:sz w:val="32"/>
          <w:szCs w:val="32"/>
        </w:rPr>
      </w:pPr>
      <w:r w:rsidRPr="005E6D66">
        <w:rPr>
          <w:rFonts w:ascii="楷体_GB2312" w:eastAsia="楷体_GB2312" w:hAnsi="Tahoma" w:cs="Times New Roman" w:hint="eastAsia"/>
          <w:kern w:val="0"/>
          <w:sz w:val="32"/>
          <w:szCs w:val="32"/>
        </w:rPr>
        <w:t>（二）场所安全。</w:t>
      </w:r>
      <w:r w:rsidRPr="005E6D66">
        <w:rPr>
          <w:rFonts w:ascii="仿宋_GB2312" w:eastAsia="仿宋_GB2312" w:hAnsi="Tahoma" w:cs="Times New Roman" w:hint="eastAsia"/>
          <w:kern w:val="0"/>
          <w:sz w:val="32"/>
          <w:szCs w:val="32"/>
        </w:rPr>
        <w:t>配备专兼职安全管理工作人员、监控装置、报警装置、应急照明灯、消防器材、消防通道等安全设施，定期检查各项安全防范措施的落实情况，及时消除事故隐患。</w:t>
      </w:r>
    </w:p>
    <w:p w:rsidR="005E6D66" w:rsidRPr="005E6D66" w:rsidRDefault="005E6D66" w:rsidP="005E6D66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bookmarkStart w:id="2" w:name="_Toc23722"/>
      <w:bookmarkStart w:id="3" w:name="_Toc478914819"/>
      <w:bookmarkStart w:id="4" w:name="_Toc478914911"/>
      <w:bookmarkStart w:id="5" w:name="_Toc32537"/>
      <w:bookmarkStart w:id="6" w:name="_Toc478914625"/>
      <w:bookmarkStart w:id="7" w:name="_Toc478915036"/>
      <w:bookmarkStart w:id="8" w:name="_Toc5692"/>
      <w:bookmarkStart w:id="9" w:name="_Toc17014"/>
      <w:bookmarkStart w:id="10" w:name="_Toc478914260"/>
      <w:r w:rsidRPr="005E6D66">
        <w:rPr>
          <w:rFonts w:ascii="楷体_GB2312" w:eastAsia="楷体_GB2312" w:hAnsi="Tahoma" w:cs="Times New Roman" w:hint="eastAsia"/>
          <w:sz w:val="32"/>
          <w:szCs w:val="32"/>
        </w:rPr>
        <w:t>（三）应急预案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5E6D66">
        <w:rPr>
          <w:rFonts w:ascii="楷体_GB2312" w:eastAsia="楷体_GB2312" w:hAnsi="Tahoma" w:cs="Times New Roman" w:hint="eastAsia"/>
          <w:sz w:val="32"/>
          <w:szCs w:val="32"/>
        </w:rPr>
        <w:t>。</w:t>
      </w:r>
      <w:r w:rsidRPr="005E6D66">
        <w:rPr>
          <w:rFonts w:ascii="仿宋_GB2312" w:eastAsia="仿宋_GB2312" w:hAnsi="Calibri" w:cs="Times New Roman" w:hint="eastAsia"/>
          <w:sz w:val="32"/>
          <w:szCs w:val="32"/>
        </w:rPr>
        <w:t>按《中华人民共和国突发事件应对法》制定“应急处置预案”并制度化，最大限度预防和减少突发公共事件及其造成的破坏。</w:t>
      </w:r>
    </w:p>
    <w:p w:rsidR="009F7E7E" w:rsidRPr="005E6D66" w:rsidRDefault="009F7E7E"/>
    <w:sectPr w:rsidR="009F7E7E" w:rsidRPr="005E6D66" w:rsidSect="005E6D6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E7E" w:rsidRDefault="009F7E7E" w:rsidP="005E6D66">
      <w:r>
        <w:separator/>
      </w:r>
    </w:p>
  </w:endnote>
  <w:endnote w:type="continuationSeparator" w:id="1">
    <w:p w:rsidR="009F7E7E" w:rsidRDefault="009F7E7E" w:rsidP="005E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E7E" w:rsidRDefault="009F7E7E" w:rsidP="005E6D66">
      <w:r>
        <w:separator/>
      </w:r>
    </w:p>
  </w:footnote>
  <w:footnote w:type="continuationSeparator" w:id="1">
    <w:p w:rsidR="009F7E7E" w:rsidRDefault="009F7E7E" w:rsidP="005E6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D66"/>
    <w:rsid w:val="005E6D66"/>
    <w:rsid w:val="009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D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288</Words>
  <Characters>1643</Characters>
  <Application>Microsoft Office Word</Application>
  <DocSecurity>0</DocSecurity>
  <Lines>13</Lines>
  <Paragraphs>3</Paragraphs>
  <ScaleCrop>false</ScaleCrop>
  <Company>china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2022-11-06T06:40:00Z</dcterms:created>
  <dcterms:modified xsi:type="dcterms:W3CDTF">2022-11-06T06:40:00Z</dcterms:modified>
</cp:coreProperties>
</file>