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rPr>
        <w:t>1</w:t>
      </w:r>
    </w:p>
    <w:p>
      <w:pPr>
        <w:spacing w:line="440" w:lineRule="exact"/>
        <w:ind w:firstLine="602" w:firstLineChars="200"/>
        <w:jc w:val="center"/>
        <w:rPr>
          <w:rFonts w:hint="eastAsia" w:ascii="仿宋" w:hAnsi="仿宋" w:eastAsia="仿宋" w:cs="仿宋"/>
          <w:b/>
          <w:bCs/>
          <w:sz w:val="30"/>
          <w:szCs w:val="30"/>
        </w:rPr>
      </w:pPr>
    </w:p>
    <w:p>
      <w:pPr>
        <w:ind w:firstLine="883" w:firstLineChars="200"/>
        <w:jc w:val="center"/>
        <w:rPr>
          <w:rFonts w:hint="eastAsia" w:ascii="仿宋" w:hAnsi="仿宋" w:eastAsia="仿宋" w:cs="仿宋"/>
          <w:b/>
          <w:bCs/>
          <w:sz w:val="44"/>
          <w:szCs w:val="44"/>
        </w:rPr>
      </w:pPr>
    </w:p>
    <w:p>
      <w:pPr>
        <w:ind w:firstLine="883" w:firstLineChars="200"/>
        <w:jc w:val="center"/>
        <w:rPr>
          <w:rFonts w:hint="eastAsia" w:ascii="仿宋" w:hAnsi="仿宋" w:eastAsia="仿宋" w:cs="仿宋"/>
          <w:b/>
          <w:bCs/>
          <w:sz w:val="44"/>
          <w:szCs w:val="44"/>
        </w:rPr>
      </w:pPr>
    </w:p>
    <w:p>
      <w:pPr>
        <w:ind w:firstLine="883" w:firstLineChars="200"/>
        <w:jc w:val="center"/>
        <w:rPr>
          <w:rFonts w:hint="eastAsia" w:ascii="仿宋" w:hAnsi="仿宋" w:eastAsia="仿宋" w:cs="仿宋"/>
          <w:b/>
          <w:bCs/>
          <w:sz w:val="44"/>
          <w:szCs w:val="44"/>
        </w:rPr>
      </w:pPr>
      <w:r>
        <w:rPr>
          <w:rFonts w:hint="eastAsia" w:ascii="仿宋" w:hAnsi="仿宋" w:eastAsia="仿宋" w:cs="仿宋"/>
          <w:b/>
          <w:bCs/>
          <w:sz w:val="44"/>
          <w:szCs w:val="44"/>
        </w:rPr>
        <w:t>周至县审计局</w:t>
      </w:r>
    </w:p>
    <w:p>
      <w:pPr>
        <w:ind w:firstLine="883" w:firstLineChars="200"/>
        <w:jc w:val="center"/>
        <w:rPr>
          <w:rFonts w:hint="eastAsia" w:ascii="仿宋" w:hAnsi="仿宋" w:eastAsia="仿宋" w:cs="仿宋"/>
          <w:b/>
          <w:bCs/>
          <w:sz w:val="44"/>
          <w:szCs w:val="44"/>
        </w:rPr>
      </w:pPr>
      <w:r>
        <w:rPr>
          <w:rFonts w:hint="eastAsia" w:ascii="仿宋" w:hAnsi="仿宋" w:eastAsia="仿宋" w:cs="仿宋"/>
          <w:b/>
          <w:bCs/>
          <w:sz w:val="44"/>
          <w:szCs w:val="44"/>
        </w:rPr>
        <w:t>2019</w:t>
      </w:r>
      <w:r>
        <w:rPr>
          <w:rFonts w:hint="eastAsia" w:ascii="仿宋" w:hAnsi="仿宋" w:eastAsia="仿宋" w:cs="仿宋"/>
          <w:b/>
          <w:bCs/>
          <w:sz w:val="44"/>
          <w:szCs w:val="44"/>
        </w:rPr>
        <w:t>年度部门决算公开说明</w:t>
      </w:r>
    </w:p>
    <w:p>
      <w:pPr>
        <w:spacing w:line="560" w:lineRule="exact"/>
        <w:ind w:firstLine="883" w:firstLineChars="200"/>
        <w:jc w:val="left"/>
        <w:rPr>
          <w:rFonts w:hint="eastAsia" w:ascii="仿宋" w:hAnsi="仿宋" w:eastAsia="仿宋" w:cs="仿宋"/>
          <w:b/>
          <w:bCs/>
          <w:sz w:val="44"/>
          <w:szCs w:val="44"/>
        </w:rPr>
      </w:pPr>
    </w:p>
    <w:p>
      <w:pPr>
        <w:spacing w:line="560" w:lineRule="exact"/>
        <w:ind w:firstLine="883" w:firstLineChars="200"/>
        <w:jc w:val="left"/>
        <w:rPr>
          <w:rFonts w:hint="eastAsia" w:ascii="仿宋" w:hAnsi="仿宋" w:eastAsia="仿宋" w:cs="仿宋"/>
          <w:b/>
          <w:bCs/>
          <w:sz w:val="44"/>
          <w:szCs w:val="44"/>
        </w:rPr>
      </w:pPr>
    </w:p>
    <w:p>
      <w:pPr>
        <w:spacing w:line="560" w:lineRule="exact"/>
        <w:ind w:firstLine="883" w:firstLineChars="200"/>
        <w:jc w:val="left"/>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60" w:lineRule="exact"/>
        <w:ind w:firstLine="883" w:firstLineChars="200"/>
        <w:rPr>
          <w:rFonts w:hint="eastAsia" w:ascii="仿宋" w:hAnsi="仿宋" w:eastAsia="仿宋" w:cs="仿宋"/>
          <w:b/>
          <w:bCs/>
          <w:sz w:val="44"/>
          <w:szCs w:val="44"/>
        </w:rPr>
      </w:pPr>
    </w:p>
    <w:p>
      <w:pPr>
        <w:spacing w:line="500" w:lineRule="exact"/>
        <w:ind w:firstLine="883" w:firstLineChars="200"/>
        <w:rPr>
          <w:rFonts w:hint="eastAsia" w:ascii="仿宋" w:hAnsi="仿宋" w:eastAsia="仿宋" w:cs="仿宋"/>
          <w:b/>
          <w:bCs/>
          <w:sz w:val="44"/>
          <w:szCs w:val="44"/>
        </w:rPr>
      </w:pPr>
    </w:p>
    <w:p>
      <w:pPr>
        <w:spacing w:line="500" w:lineRule="exact"/>
        <w:ind w:firstLine="723" w:firstLineChars="200"/>
        <w:rPr>
          <w:rFonts w:hint="eastAsia" w:ascii="仿宋" w:hAnsi="仿宋" w:eastAsia="仿宋" w:cs="仿宋"/>
          <w:b/>
          <w:bCs/>
          <w:sz w:val="36"/>
          <w:szCs w:val="36"/>
        </w:rPr>
      </w:pPr>
      <w:r>
        <w:rPr>
          <w:rFonts w:hint="eastAsia" w:ascii="仿宋" w:hAnsi="仿宋" w:eastAsia="仿宋" w:cs="仿宋"/>
          <w:b/>
          <w:bCs/>
          <w:sz w:val="36"/>
          <w:szCs w:val="36"/>
        </w:rPr>
        <w:t xml:space="preserve">         </w:t>
      </w:r>
      <w:r>
        <w:rPr>
          <w:rFonts w:hint="eastAsia" w:ascii="仿宋" w:hAnsi="仿宋" w:eastAsia="仿宋" w:cs="仿宋"/>
          <w:b/>
          <w:bCs/>
          <w:sz w:val="36"/>
          <w:szCs w:val="36"/>
        </w:rPr>
        <w:t>保密审查情况：已审查</w:t>
      </w:r>
    </w:p>
    <w:p>
      <w:pPr>
        <w:spacing w:line="500" w:lineRule="exact"/>
        <w:ind w:firstLine="723" w:firstLineChars="200"/>
        <w:rPr>
          <w:rFonts w:hint="eastAsia" w:ascii="仿宋" w:hAnsi="仿宋" w:eastAsia="仿宋" w:cs="仿宋"/>
          <w:b/>
          <w:bCs/>
          <w:sz w:val="36"/>
          <w:szCs w:val="36"/>
        </w:rPr>
      </w:pPr>
      <w:r>
        <w:rPr>
          <w:rFonts w:hint="eastAsia" w:ascii="仿宋" w:hAnsi="仿宋" w:eastAsia="仿宋" w:cs="仿宋"/>
          <w:b/>
          <w:bCs/>
          <w:sz w:val="36"/>
          <w:szCs w:val="36"/>
        </w:rPr>
        <w:t xml:space="preserve">         </w:t>
      </w:r>
      <w:r>
        <w:rPr>
          <w:rFonts w:hint="eastAsia" w:ascii="仿宋" w:hAnsi="仿宋" w:eastAsia="仿宋" w:cs="仿宋"/>
          <w:b/>
          <w:bCs/>
          <w:sz w:val="36"/>
          <w:szCs w:val="36"/>
        </w:rPr>
        <w:t>部门主要负责人审签情况：已审签</w:t>
      </w:r>
    </w:p>
    <w:p>
      <w:pPr>
        <w:spacing w:line="560" w:lineRule="exact"/>
        <w:ind w:firstLine="723" w:firstLineChars="200"/>
        <w:jc w:val="center"/>
        <w:rPr>
          <w:rFonts w:hint="eastAsia" w:ascii="仿宋" w:hAnsi="仿宋" w:eastAsia="仿宋" w:cs="仿宋"/>
          <w:b/>
          <w:color w:val="000000"/>
          <w:kern w:val="0"/>
          <w:sz w:val="32"/>
          <w:szCs w:val="32"/>
        </w:rPr>
      </w:pPr>
      <w:r>
        <w:rPr>
          <w:rFonts w:hint="eastAsia" w:ascii="仿宋" w:hAnsi="仿宋" w:eastAsia="仿宋" w:cs="仿宋"/>
          <w:b/>
          <w:color w:val="000000"/>
          <w:kern w:val="0"/>
          <w:sz w:val="36"/>
          <w:szCs w:val="36"/>
        </w:rPr>
        <w:br w:type="page"/>
      </w:r>
      <w:r>
        <w:rPr>
          <w:rFonts w:hint="eastAsia" w:ascii="仿宋" w:hAnsi="仿宋" w:eastAsia="仿宋" w:cs="仿宋"/>
          <w:b/>
          <w:color w:val="000000"/>
          <w:kern w:val="0"/>
          <w:sz w:val="32"/>
          <w:szCs w:val="32"/>
        </w:rPr>
        <w:t>目</w:t>
      </w:r>
      <w:r>
        <w:rPr>
          <w:rFonts w:hint="eastAsia" w:ascii="仿宋" w:hAnsi="仿宋" w:eastAsia="仿宋" w:cs="仿宋"/>
          <w:b/>
          <w:color w:val="000000"/>
          <w:kern w:val="0"/>
          <w:sz w:val="32"/>
          <w:szCs w:val="32"/>
        </w:rPr>
        <w:t xml:space="preserve">  </w:t>
      </w:r>
      <w:r>
        <w:rPr>
          <w:rFonts w:hint="eastAsia" w:ascii="仿宋" w:hAnsi="仿宋" w:eastAsia="仿宋" w:cs="仿宋"/>
          <w:b/>
          <w:color w:val="000000"/>
          <w:kern w:val="0"/>
          <w:sz w:val="32"/>
          <w:szCs w:val="32"/>
        </w:rPr>
        <w:t>录</w:t>
      </w:r>
    </w:p>
    <w:p>
      <w:pPr>
        <w:widowControl/>
        <w:spacing w:beforeLines="100" w:line="560" w:lineRule="exact"/>
        <w:ind w:firstLine="643" w:firstLineChars="200"/>
        <w:jc w:val="center"/>
        <w:rPr>
          <w:rFonts w:hint="eastAsia" w:ascii="仿宋" w:hAnsi="仿宋" w:eastAsia="仿宋" w:cs="仿宋"/>
          <w:b/>
          <w:sz w:val="32"/>
          <w:szCs w:val="32"/>
        </w:rPr>
      </w:pPr>
      <w:r>
        <w:rPr>
          <w:rFonts w:hint="eastAsia" w:ascii="仿宋" w:hAnsi="仿宋" w:eastAsia="仿宋" w:cs="仿宋"/>
          <w:b/>
          <w:color w:val="000000"/>
          <w:kern w:val="0"/>
          <w:sz w:val="32"/>
          <w:szCs w:val="32"/>
        </w:rPr>
        <w:t>第一部分</w:t>
      </w:r>
      <w:r>
        <w:rPr>
          <w:rFonts w:hint="eastAsia" w:ascii="仿宋" w:hAnsi="仿宋" w:eastAsia="仿宋" w:cs="仿宋"/>
          <w:b/>
          <w:color w:val="000000"/>
          <w:kern w:val="0"/>
          <w:sz w:val="32"/>
          <w:szCs w:val="32"/>
        </w:rPr>
        <w:t xml:space="preserve">  </w:t>
      </w:r>
      <w:r>
        <w:rPr>
          <w:rFonts w:hint="eastAsia" w:ascii="仿宋" w:hAnsi="仿宋" w:eastAsia="仿宋" w:cs="仿宋"/>
          <w:b/>
          <w:color w:val="000000"/>
          <w:kern w:val="0"/>
          <w:sz w:val="32"/>
          <w:szCs w:val="32"/>
        </w:rPr>
        <w:t>部门概况</w:t>
      </w:r>
    </w:p>
    <w:p>
      <w:pPr>
        <w:widowControl/>
        <w:numPr>
          <w:ilvl w:val="0"/>
          <w:numId w:val="1"/>
        </w:numPr>
        <w:spacing w:line="560" w:lineRule="exac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部门主要职责及内设机构</w:t>
      </w:r>
    </w:p>
    <w:p>
      <w:pPr>
        <w:widowControl/>
        <w:numPr>
          <w:ilvl w:val="0"/>
          <w:numId w:val="1"/>
        </w:numPr>
        <w:spacing w:line="560" w:lineRule="exac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部门决算单位构成</w:t>
      </w:r>
    </w:p>
    <w:p>
      <w:pPr>
        <w:widowControl/>
        <w:numPr>
          <w:ilvl w:val="0"/>
          <w:numId w:val="1"/>
        </w:numPr>
        <w:spacing w:line="560" w:lineRule="exac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部门人员情况</w:t>
      </w:r>
    </w:p>
    <w:p>
      <w:pPr>
        <w:widowControl/>
        <w:spacing w:before="100" w:beforeAutospacing="1" w:after="100" w:afterAutospacing="1" w:line="560" w:lineRule="exact"/>
        <w:ind w:firstLine="643" w:firstLineChars="200"/>
        <w:jc w:val="center"/>
        <w:rPr>
          <w:rFonts w:hint="eastAsia" w:ascii="仿宋" w:hAnsi="仿宋" w:eastAsia="仿宋" w:cs="仿宋"/>
          <w:b/>
          <w:sz w:val="32"/>
          <w:szCs w:val="32"/>
        </w:rPr>
      </w:pPr>
      <w:r>
        <w:rPr>
          <w:rFonts w:hint="eastAsia" w:ascii="仿宋" w:hAnsi="仿宋" w:eastAsia="仿宋" w:cs="仿宋"/>
          <w:b/>
          <w:color w:val="000000"/>
          <w:kern w:val="0"/>
          <w:sz w:val="32"/>
          <w:szCs w:val="32"/>
        </w:rPr>
        <w:t>第二部分</w:t>
      </w:r>
      <w:r>
        <w:rPr>
          <w:rFonts w:hint="eastAsia" w:ascii="仿宋" w:hAnsi="仿宋" w:eastAsia="仿宋" w:cs="仿宋"/>
          <w:b/>
          <w:color w:val="000000"/>
          <w:kern w:val="0"/>
          <w:sz w:val="32"/>
          <w:szCs w:val="32"/>
        </w:rPr>
        <w:t xml:space="preserve">  2019</w:t>
      </w:r>
      <w:r>
        <w:rPr>
          <w:rFonts w:hint="eastAsia" w:ascii="仿宋" w:hAnsi="仿宋" w:eastAsia="仿宋" w:cs="仿宋"/>
          <w:b/>
          <w:color w:val="000000"/>
          <w:kern w:val="0"/>
          <w:sz w:val="32"/>
          <w:szCs w:val="32"/>
        </w:rPr>
        <w:t>年度部门决算情况说明</w:t>
      </w:r>
    </w:p>
    <w:p>
      <w:pPr>
        <w:widowControl/>
        <w:numPr>
          <w:ilvl w:val="0"/>
          <w:numId w:val="2"/>
        </w:numPr>
        <w:spacing w:line="560" w:lineRule="exac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收入支出决算总体情况说明</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二、收入决算情况说明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三、支出决算情况说明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四、财政拨款收入支出决算总体情况说明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五、一般公共预算财政拨款支出决算情况说明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（一）财政拨款支出决算总体情况说明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（二）财政拨款支出决算具体情况说明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六、一般公共预算财政拨款基本支出决算情况说明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七、一般公共预算财政拨款“三公”经费及会议费、培训费支出决算情况说明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（一）“三公”经费财政拨款支出决算总体情况说明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（二）“三公”经费财政拨款支出决算具体情况说明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（三）培训费支出情况说明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（四）会议费支出情况说明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八、政府性基金预算财政拨款收入支出情况说明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九、国有资本经营财政拨款收入支出情况说明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十、预算绩效情况说明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（一）预算绩效管理工作开展情况说明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（二）部门决算中项目绩效自评结果</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（三）部门决算中整体支出绩效自评结果</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十一、其他重要事项说明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（一）机关运行经费支出情况说明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（二）政府采购支出情况说明</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（三）国有资产占用及购置情况说明</w:t>
      </w:r>
      <w:r>
        <w:rPr>
          <w:rFonts w:hint="eastAsia" w:ascii="仿宋" w:hAnsi="仿宋" w:eastAsia="仿宋" w:cs="仿宋"/>
          <w:color w:val="000000"/>
          <w:kern w:val="0"/>
          <w:sz w:val="32"/>
          <w:szCs w:val="32"/>
        </w:rPr>
        <w:t xml:space="preserve"> </w:t>
      </w:r>
    </w:p>
    <w:p>
      <w:pPr>
        <w:spacing w:before="100" w:beforeAutospacing="1" w:after="100" w:afterAutospacing="1" w:line="560" w:lineRule="exact"/>
        <w:ind w:firstLine="643" w:firstLineChars="200"/>
        <w:jc w:val="center"/>
        <w:rPr>
          <w:rFonts w:hint="eastAsia" w:ascii="仿宋" w:hAnsi="仿宋" w:eastAsia="仿宋" w:cs="仿宋"/>
          <w:b/>
          <w:bCs/>
          <w:sz w:val="32"/>
          <w:szCs w:val="32"/>
        </w:rPr>
      </w:pPr>
      <w:r>
        <w:rPr>
          <w:rFonts w:hint="eastAsia" w:ascii="仿宋" w:hAnsi="仿宋" w:eastAsia="仿宋" w:cs="仿宋"/>
          <w:b/>
          <w:color w:val="000000"/>
          <w:kern w:val="0"/>
          <w:sz w:val="32"/>
          <w:szCs w:val="32"/>
        </w:rPr>
        <w:t>第三部分</w:t>
      </w:r>
      <w:r>
        <w:rPr>
          <w:rFonts w:hint="eastAsia" w:ascii="仿宋" w:hAnsi="仿宋" w:eastAsia="仿宋" w:cs="仿宋"/>
          <w:b/>
          <w:color w:val="000000"/>
          <w:kern w:val="0"/>
          <w:sz w:val="32"/>
          <w:szCs w:val="32"/>
        </w:rPr>
        <w:t xml:space="preserve"> </w:t>
      </w:r>
      <w:r>
        <w:rPr>
          <w:rFonts w:hint="eastAsia" w:ascii="仿宋" w:hAnsi="仿宋" w:eastAsia="仿宋" w:cs="仿宋"/>
          <w:b/>
          <w:color w:val="000000"/>
          <w:kern w:val="0"/>
          <w:sz w:val="32"/>
          <w:szCs w:val="32"/>
        </w:rPr>
        <w:t>专业名词解释</w:t>
      </w:r>
    </w:p>
    <w:p>
      <w:pPr>
        <w:widowControl/>
        <w:spacing w:before="100" w:beforeAutospacing="1" w:after="100" w:afterAutospacing="1" w:line="560" w:lineRule="exact"/>
        <w:ind w:firstLine="200"/>
        <w:jc w:val="center"/>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第四部分</w:t>
      </w:r>
      <w:r>
        <w:rPr>
          <w:rFonts w:hint="eastAsia" w:ascii="仿宋" w:hAnsi="仿宋" w:eastAsia="仿宋" w:cs="仿宋"/>
          <w:b/>
          <w:color w:val="000000"/>
          <w:kern w:val="0"/>
          <w:sz w:val="32"/>
          <w:szCs w:val="32"/>
        </w:rPr>
        <w:t xml:space="preserve"> 2019</w:t>
      </w:r>
      <w:r>
        <w:rPr>
          <w:rFonts w:hint="eastAsia" w:ascii="仿宋" w:hAnsi="仿宋" w:eastAsia="仿宋" w:cs="仿宋"/>
          <w:b/>
          <w:color w:val="000000"/>
          <w:kern w:val="0"/>
          <w:sz w:val="32"/>
          <w:szCs w:val="32"/>
        </w:rPr>
        <w:t>年度部门决算表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一、收入支出决算总表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二、收入决算总表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三、支出决算总表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七、一般公共预算财政拨款“三公”经费及会议费、培训费支出决算表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spacing w:line="560" w:lineRule="exact"/>
        <w:ind w:firstLine="640" w:firstLineChars="200"/>
        <w:rPr>
          <w:rFonts w:hint="eastAsia" w:ascii="仿宋" w:hAnsi="仿宋" w:eastAsia="仿宋" w:cs="仿宋"/>
          <w:b/>
          <w:color w:val="000000"/>
          <w:kern w:val="0"/>
          <w:sz w:val="32"/>
          <w:szCs w:val="32"/>
        </w:rPr>
      </w:pPr>
      <w:r>
        <w:rPr>
          <w:rFonts w:hint="eastAsia" w:ascii="仿宋" w:hAnsi="仿宋" w:eastAsia="仿宋" w:cs="仿宋"/>
          <w:sz w:val="32"/>
          <w:szCs w:val="32"/>
        </w:rPr>
        <w:t>九、政府采购支出决算表</w:t>
      </w:r>
    </w:p>
    <w:p>
      <w:pPr>
        <w:spacing w:before="100" w:beforeAutospacing="1" w:after="100" w:afterAutospacing="1" w:line="560" w:lineRule="exact"/>
        <w:ind w:firstLine="643" w:firstLineChars="200"/>
        <w:jc w:val="center"/>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第一部分</w:t>
      </w:r>
      <w:r>
        <w:rPr>
          <w:rFonts w:hint="eastAsia" w:ascii="仿宋" w:hAnsi="仿宋" w:eastAsia="仿宋" w:cs="仿宋"/>
          <w:b/>
          <w:color w:val="000000"/>
          <w:kern w:val="0"/>
          <w:sz w:val="32"/>
          <w:szCs w:val="32"/>
        </w:rPr>
        <w:t xml:space="preserve"> </w:t>
      </w:r>
      <w:r>
        <w:rPr>
          <w:rFonts w:hint="eastAsia" w:ascii="仿宋" w:hAnsi="仿宋" w:eastAsia="仿宋" w:cs="仿宋"/>
          <w:b/>
          <w:color w:val="000000"/>
          <w:kern w:val="0"/>
          <w:sz w:val="32"/>
          <w:szCs w:val="32"/>
        </w:rPr>
        <w:t>部门概况</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一、部门主要职责及内设机构</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（一）部门主要职责</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1、贯彻执行</w:t>
      </w:r>
      <w:bookmarkStart w:id="1" w:name="_GoBack"/>
      <w:bookmarkEnd w:id="1"/>
      <w:r>
        <w:rPr>
          <w:rFonts w:hint="eastAsia" w:ascii="仿宋" w:hAnsi="仿宋" w:eastAsia="仿宋" w:cs="仿宋"/>
          <w:color w:val="333333"/>
          <w:kern w:val="0"/>
          <w:sz w:val="32"/>
          <w:szCs w:val="32"/>
        </w:rPr>
        <w:t>国家审计方针政策;制定地方性、财经规章制度并监督执行情况，协调监督指导有关单位的审计业务。</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2、向县政府报告和向县政府有关部门通报审计的情况，提出制定和完善政策措施的建议;向市审计局提出审计结果报告。</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3、对县财政预算执行情况、决算和其他财政收支进行审计。</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4、对县级各部门、直属事业单位及下属单位的财务收支进行审计。</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5、对乡镇人民政府预算的执行和决算以及预算外资金的管理和使用进行审计监督。</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6、对直属国有企业，国有资产占控股地位、主导地位企业的财务收支和经济效益进行审计。</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7、受委托对党政领导干部的任期经济责任、对县属国有企业、国有资产占控股地位，主导地位的企业领导人员任期经济责任进行审计。</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（二）部门机构设置</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设8个内设机构：有办公室、财政审计科、行政事业审计科、固定投资审计科、农业农村审计科、稽核科、经济责任审计科、电子数据科</w:t>
      </w:r>
    </w:p>
    <w:p>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二、部门决算单位构成</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纳入2019年度本部门决算编制范围的单位共</w:t>
      </w:r>
      <w:r>
        <w:rPr>
          <w:rFonts w:hint="eastAsia" w:ascii="仿宋" w:hAnsi="仿宋" w:eastAsia="仿宋" w:cs="仿宋"/>
          <w:sz w:val="32"/>
          <w:szCs w:val="32"/>
          <w:lang w:val="en-US" w:eastAsia="zh-CN"/>
        </w:rPr>
        <w:t>1</w:t>
      </w:r>
      <w:r>
        <w:rPr>
          <w:rFonts w:hint="eastAsia" w:ascii="仿宋" w:hAnsi="仿宋" w:eastAsia="仿宋" w:cs="仿宋"/>
          <w:sz w:val="32"/>
          <w:szCs w:val="32"/>
        </w:rPr>
        <w:t>个，包括本级及所属</w:t>
      </w:r>
      <w:r>
        <w:rPr>
          <w:rFonts w:hint="eastAsia" w:ascii="仿宋" w:hAnsi="仿宋" w:eastAsia="仿宋" w:cs="仿宋"/>
          <w:sz w:val="32"/>
          <w:szCs w:val="32"/>
          <w:lang w:val="en-US" w:eastAsia="zh-CN"/>
        </w:rPr>
        <w:t>0</w:t>
      </w:r>
      <w:r>
        <w:rPr>
          <w:rFonts w:hint="eastAsia" w:ascii="仿宋" w:hAnsi="仿宋" w:eastAsia="仿宋" w:cs="仿宋"/>
          <w:sz w:val="32"/>
          <w:szCs w:val="32"/>
        </w:rPr>
        <w:t>个</w:t>
      </w:r>
      <w:r>
        <w:rPr>
          <w:rFonts w:hint="eastAsia" w:ascii="仿宋" w:hAnsi="仿宋" w:eastAsia="仿宋" w:cs="仿宋"/>
          <w:color w:val="000000"/>
          <w:kern w:val="0"/>
          <w:sz w:val="32"/>
          <w:szCs w:val="32"/>
        </w:rPr>
        <w:t>二级预算</w:t>
      </w:r>
      <w:r>
        <w:rPr>
          <w:rFonts w:hint="eastAsia" w:ascii="仿宋" w:hAnsi="仿宋" w:eastAsia="仿宋" w:cs="仿宋"/>
          <w:sz w:val="32"/>
          <w:szCs w:val="32"/>
        </w:rPr>
        <w:t>单位：</w:t>
      </w:r>
    </w:p>
    <w:tbl>
      <w:tblPr>
        <w:tblStyle w:val="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81" w:type="dxa"/>
            <w:vAlign w:val="center"/>
          </w:tcPr>
          <w:p>
            <w:pPr>
              <w:spacing w:line="56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序号</w:t>
            </w:r>
          </w:p>
        </w:tc>
        <w:tc>
          <w:tcPr>
            <w:tcW w:w="7278" w:type="dxa"/>
            <w:vAlign w:val="center"/>
          </w:tcPr>
          <w:p>
            <w:pPr>
              <w:spacing w:line="56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81" w:type="dxa"/>
            <w:vAlign w:val="center"/>
          </w:tcPr>
          <w:p>
            <w:pPr>
              <w:spacing w:line="56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1</w:t>
            </w:r>
          </w:p>
        </w:tc>
        <w:tc>
          <w:tcPr>
            <w:tcW w:w="7278" w:type="dxa"/>
            <w:vAlign w:val="center"/>
          </w:tcPr>
          <w:p>
            <w:pPr>
              <w:spacing w:line="56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周至县</w:t>
            </w:r>
            <w:r>
              <w:rPr>
                <w:rFonts w:hint="eastAsia" w:ascii="仿宋" w:hAnsi="仿宋" w:eastAsia="仿宋" w:cs="仿宋"/>
                <w:sz w:val="32"/>
                <w:szCs w:val="32"/>
                <w:lang w:val="en-US" w:eastAsia="zh-CN"/>
              </w:rPr>
              <w:t>审计局</w:t>
            </w:r>
            <w:r>
              <w:rPr>
                <w:rFonts w:hint="eastAsia" w:ascii="仿宋" w:hAnsi="仿宋" w:eastAsia="仿宋" w:cs="仿宋"/>
                <w:sz w:val="32"/>
                <w:szCs w:val="32"/>
              </w:rPr>
              <w:t>单位（机关）</w:t>
            </w:r>
          </w:p>
        </w:tc>
      </w:tr>
    </w:tbl>
    <w:p>
      <w:pPr>
        <w:spacing w:line="560" w:lineRule="exact"/>
        <w:ind w:firstLine="640" w:firstLineChars="200"/>
        <w:rPr>
          <w:rFonts w:hint="eastAsia" w:ascii="仿宋" w:hAnsi="仿宋" w:eastAsia="仿宋" w:cs="仿宋"/>
          <w:bCs/>
          <w:sz w:val="32"/>
          <w:szCs w:val="32"/>
        </w:rPr>
      </w:pP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三、部门人员情况</w:t>
      </w:r>
    </w:p>
    <w:p>
      <w:pPr>
        <w:widowControl/>
        <w:spacing w:line="495" w:lineRule="atLeast"/>
        <w:ind w:firstLine="320" w:firstLineChars="100"/>
        <w:jc w:val="left"/>
        <w:rPr>
          <w:rFonts w:hint="eastAsia" w:ascii="仿宋" w:hAnsi="仿宋" w:eastAsia="仿宋" w:cs="仿宋"/>
          <w:color w:val="333333"/>
          <w:kern w:val="0"/>
          <w:sz w:val="32"/>
          <w:szCs w:val="32"/>
        </w:rPr>
      </w:pPr>
      <w:r>
        <w:rPr>
          <w:rFonts w:hint="eastAsia"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401955</wp:posOffset>
            </wp:positionH>
            <wp:positionV relativeFrom="paragraph">
              <wp:posOffset>1111250</wp:posOffset>
            </wp:positionV>
            <wp:extent cx="4677410" cy="2848610"/>
            <wp:effectExtent l="0" t="0" r="8890" b="889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4677410" cy="2848610"/>
                    </a:xfrm>
                    <a:prstGeom prst="rect">
                      <a:avLst/>
                    </a:prstGeom>
                    <a:noFill/>
                    <a:ln>
                      <a:noFill/>
                    </a:ln>
                  </pic:spPr>
                </pic:pic>
              </a:graphicData>
            </a:graphic>
          </wp:anchor>
        </w:drawing>
      </w:r>
      <w:r>
        <w:rPr>
          <w:rFonts w:hint="eastAsia" w:ascii="仿宋" w:hAnsi="仿宋" w:eastAsia="仿宋" w:cs="仿宋"/>
          <w:color w:val="333333"/>
          <w:kern w:val="0"/>
          <w:sz w:val="32"/>
          <w:szCs w:val="32"/>
        </w:rPr>
        <w:t>截至2019年底，人员编制22人，实有人员23人。其中，行政编制22 人，事业编制0人；行政人员</w:t>
      </w:r>
      <w:r>
        <w:rPr>
          <w:rFonts w:hint="eastAsia" w:ascii="仿宋" w:hAnsi="仿宋" w:eastAsia="仿宋" w:cs="仿宋"/>
          <w:color w:val="333333"/>
          <w:kern w:val="0"/>
          <w:sz w:val="32"/>
          <w:szCs w:val="32"/>
          <w:lang w:val="en-US" w:eastAsia="zh-CN"/>
        </w:rPr>
        <w:t>19</w:t>
      </w:r>
      <w:r>
        <w:rPr>
          <w:rFonts w:hint="eastAsia" w:ascii="仿宋" w:hAnsi="仿宋" w:eastAsia="仿宋" w:cs="仿宋"/>
          <w:color w:val="333333"/>
          <w:kern w:val="0"/>
          <w:sz w:val="32"/>
          <w:szCs w:val="32"/>
        </w:rPr>
        <w:t>人，工勤</w:t>
      </w: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人，事业人员</w:t>
      </w:r>
      <w:r>
        <w:rPr>
          <w:rFonts w:hint="eastAsia" w:ascii="仿宋" w:hAnsi="仿宋" w:eastAsia="仿宋" w:cs="仿宋"/>
          <w:color w:val="333333"/>
          <w:kern w:val="0"/>
          <w:sz w:val="32"/>
          <w:szCs w:val="32"/>
          <w:lang w:val="en-US" w:eastAsia="zh-CN"/>
        </w:rPr>
        <w:t>0</w:t>
      </w:r>
      <w:r>
        <w:rPr>
          <w:rFonts w:hint="eastAsia" w:ascii="仿宋" w:hAnsi="仿宋" w:eastAsia="仿宋" w:cs="仿宋"/>
          <w:color w:val="333333"/>
          <w:kern w:val="0"/>
          <w:sz w:val="32"/>
          <w:szCs w:val="32"/>
        </w:rPr>
        <w:t>人，单位管理的离退休人员21人。</w:t>
      </w:r>
    </w:p>
    <w:p>
      <w:pPr>
        <w:widowControl/>
        <w:spacing w:line="495" w:lineRule="atLeast"/>
        <w:ind w:firstLine="320" w:firstLineChars="1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w:t>
      </w:r>
    </w:p>
    <w:p>
      <w:pPr>
        <w:widowControl/>
        <w:spacing w:line="495" w:lineRule="atLeast"/>
        <w:ind w:firstLine="320" w:firstLineChars="100"/>
        <w:jc w:val="left"/>
        <w:rPr>
          <w:rFonts w:hint="eastAsia" w:ascii="仿宋" w:hAnsi="仿宋" w:eastAsia="仿宋" w:cs="仿宋"/>
          <w:color w:val="333333"/>
          <w:kern w:val="0"/>
          <w:sz w:val="32"/>
          <w:szCs w:val="32"/>
        </w:rPr>
      </w:pPr>
    </w:p>
    <w:p>
      <w:pPr>
        <w:widowControl/>
        <w:spacing w:line="495" w:lineRule="atLeast"/>
        <w:ind w:firstLine="320" w:firstLineChars="100"/>
        <w:jc w:val="left"/>
        <w:rPr>
          <w:rFonts w:hint="eastAsia" w:ascii="仿宋" w:hAnsi="仿宋" w:eastAsia="仿宋" w:cs="仿宋"/>
          <w:color w:val="333333"/>
          <w:kern w:val="0"/>
          <w:sz w:val="32"/>
          <w:szCs w:val="32"/>
        </w:rPr>
      </w:pPr>
    </w:p>
    <w:p>
      <w:pPr>
        <w:widowControl/>
        <w:spacing w:line="495" w:lineRule="atLeast"/>
        <w:ind w:firstLine="320" w:firstLineChars="100"/>
        <w:jc w:val="left"/>
        <w:rPr>
          <w:rFonts w:hint="eastAsia" w:ascii="仿宋" w:hAnsi="仿宋" w:eastAsia="仿宋" w:cs="仿宋"/>
          <w:color w:val="333333"/>
          <w:kern w:val="0"/>
          <w:sz w:val="32"/>
          <w:szCs w:val="32"/>
        </w:rPr>
      </w:pPr>
    </w:p>
    <w:p>
      <w:pPr>
        <w:widowControl/>
        <w:spacing w:line="495" w:lineRule="atLeast"/>
        <w:ind w:firstLine="320" w:firstLineChars="100"/>
        <w:jc w:val="left"/>
        <w:rPr>
          <w:rFonts w:hint="eastAsia" w:ascii="仿宋" w:hAnsi="仿宋" w:eastAsia="仿宋" w:cs="仿宋"/>
          <w:color w:val="333333"/>
          <w:kern w:val="0"/>
          <w:sz w:val="32"/>
          <w:szCs w:val="32"/>
        </w:rPr>
      </w:pPr>
    </w:p>
    <w:p>
      <w:pPr>
        <w:widowControl/>
        <w:spacing w:line="495" w:lineRule="atLeast"/>
        <w:ind w:firstLine="320" w:firstLineChars="100"/>
        <w:jc w:val="left"/>
        <w:rPr>
          <w:rFonts w:hint="eastAsia" w:ascii="仿宋" w:hAnsi="仿宋" w:eastAsia="仿宋" w:cs="仿宋"/>
          <w:color w:val="333333"/>
          <w:kern w:val="0"/>
          <w:sz w:val="32"/>
          <w:szCs w:val="32"/>
        </w:rPr>
      </w:pPr>
    </w:p>
    <w:p>
      <w:pPr>
        <w:widowControl/>
        <w:spacing w:line="495" w:lineRule="atLeast"/>
        <w:ind w:firstLine="320" w:firstLineChars="100"/>
        <w:jc w:val="left"/>
        <w:rPr>
          <w:rFonts w:hint="eastAsia" w:ascii="仿宋" w:hAnsi="仿宋" w:eastAsia="仿宋" w:cs="仿宋"/>
          <w:color w:val="333333"/>
          <w:kern w:val="0"/>
          <w:sz w:val="32"/>
          <w:szCs w:val="32"/>
        </w:rPr>
      </w:pPr>
    </w:p>
    <w:p>
      <w:pPr>
        <w:spacing w:line="560" w:lineRule="exact"/>
        <w:ind w:firstLine="640" w:firstLineChars="200"/>
        <w:rPr>
          <w:rFonts w:hint="eastAsia" w:ascii="仿宋" w:hAnsi="仿宋" w:eastAsia="仿宋" w:cs="仿宋"/>
          <w:sz w:val="32"/>
          <w:szCs w:val="32"/>
        </w:rPr>
      </w:pPr>
    </w:p>
    <w:p>
      <w:pPr>
        <w:widowControl/>
        <w:spacing w:before="100" w:beforeAutospacing="1" w:after="100" w:afterAutospacing="1" w:line="560" w:lineRule="exact"/>
        <w:ind w:firstLine="643" w:firstLineChars="200"/>
        <w:jc w:val="center"/>
        <w:textAlignment w:val="center"/>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第二部分 2019年度部门决算情况说明</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一、收入支出决算总体情况说明 </w:t>
      </w:r>
    </w:p>
    <w:p>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（一）</w:t>
      </w:r>
      <w:r>
        <w:rPr>
          <w:rFonts w:hint="eastAsia" w:ascii="仿宋" w:hAnsi="仿宋" w:eastAsia="仿宋" w:cs="仿宋"/>
          <w:color w:val="333333"/>
          <w:kern w:val="0"/>
          <w:sz w:val="32"/>
          <w:szCs w:val="32"/>
        </w:rPr>
        <w:t>2019年度收入总计266.95万元，较上年</w:t>
      </w:r>
      <w:r>
        <w:rPr>
          <w:rFonts w:hint="eastAsia" w:ascii="仿宋" w:hAnsi="仿宋" w:eastAsia="仿宋" w:cs="仿宋"/>
          <w:color w:val="333333"/>
          <w:kern w:val="0"/>
          <w:sz w:val="32"/>
          <w:szCs w:val="32"/>
          <w:lang w:eastAsia="zh-CN"/>
        </w:rPr>
        <w:t>减少</w:t>
      </w:r>
      <w:r>
        <w:rPr>
          <w:rFonts w:hint="eastAsia" w:ascii="仿宋" w:hAnsi="仿宋" w:eastAsia="仿宋" w:cs="仿宋"/>
          <w:color w:val="333333"/>
          <w:kern w:val="0"/>
          <w:sz w:val="32"/>
          <w:szCs w:val="32"/>
        </w:rPr>
        <w:t>31.53万元，</w:t>
      </w:r>
      <w:r>
        <w:rPr>
          <w:rFonts w:hint="eastAsia" w:ascii="仿宋" w:hAnsi="仿宋" w:eastAsia="仿宋" w:cs="仿宋"/>
          <w:color w:val="333333"/>
          <w:kern w:val="0"/>
          <w:sz w:val="32"/>
          <w:szCs w:val="32"/>
          <w:lang w:eastAsia="zh-CN"/>
        </w:rPr>
        <w:t>减少</w:t>
      </w:r>
      <w:r>
        <w:rPr>
          <w:rFonts w:hint="eastAsia" w:ascii="仿宋" w:hAnsi="仿宋" w:eastAsia="仿宋" w:cs="仿宋"/>
          <w:color w:val="333333"/>
          <w:kern w:val="0"/>
          <w:sz w:val="32"/>
          <w:szCs w:val="32"/>
        </w:rPr>
        <w:t>10.60 %。下降原因为项目减少</w:t>
      </w:r>
      <w:r>
        <w:rPr>
          <w:rFonts w:hint="eastAsia" w:ascii="仿宋" w:hAnsi="仿宋" w:eastAsia="仿宋" w:cs="仿宋"/>
          <w:sz w:val="32"/>
          <w:szCs w:val="32"/>
        </w:rPr>
        <w:t>。</w:t>
      </w:r>
    </w:p>
    <w:p>
      <w:pPr>
        <w:widowControl/>
        <w:spacing w:line="495" w:lineRule="atLeas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kern w:val="0"/>
          <w:sz w:val="32"/>
          <w:szCs w:val="32"/>
        </w:rPr>
        <w:t>（二）</w:t>
      </w:r>
      <w:r>
        <w:rPr>
          <w:rFonts w:hint="eastAsia" w:ascii="仿宋" w:hAnsi="仿宋" w:eastAsia="仿宋" w:cs="仿宋"/>
          <w:color w:val="333333"/>
          <w:kern w:val="0"/>
          <w:sz w:val="32"/>
          <w:szCs w:val="32"/>
        </w:rPr>
        <w:t>2019年度财政拨款支出250.05万元，较上年</w:t>
      </w:r>
      <w:r>
        <w:rPr>
          <w:rFonts w:hint="eastAsia" w:ascii="仿宋" w:hAnsi="仿宋" w:eastAsia="仿宋" w:cs="仿宋"/>
          <w:color w:val="333333"/>
          <w:kern w:val="0"/>
          <w:sz w:val="32"/>
          <w:szCs w:val="32"/>
          <w:lang w:eastAsia="zh-CN"/>
        </w:rPr>
        <w:t>减少</w:t>
      </w:r>
      <w:r>
        <w:rPr>
          <w:rFonts w:hint="eastAsia" w:ascii="仿宋" w:hAnsi="仿宋" w:eastAsia="仿宋" w:cs="仿宋"/>
          <w:color w:val="333333"/>
          <w:kern w:val="0"/>
          <w:sz w:val="32"/>
          <w:szCs w:val="32"/>
        </w:rPr>
        <w:t>35.57 万元，</w:t>
      </w:r>
      <w:r>
        <w:rPr>
          <w:rFonts w:hint="eastAsia" w:ascii="仿宋" w:hAnsi="仿宋" w:eastAsia="仿宋" w:cs="仿宋"/>
          <w:color w:val="333333"/>
          <w:kern w:val="0"/>
          <w:sz w:val="32"/>
          <w:szCs w:val="32"/>
          <w:lang w:eastAsia="zh-CN"/>
        </w:rPr>
        <w:t>减少</w:t>
      </w:r>
      <w:r>
        <w:rPr>
          <w:rFonts w:hint="eastAsia" w:ascii="仿宋" w:hAnsi="仿宋" w:eastAsia="仿宋" w:cs="仿宋"/>
          <w:color w:val="333333"/>
          <w:kern w:val="0"/>
          <w:sz w:val="32"/>
          <w:szCs w:val="32"/>
        </w:rPr>
        <w:t>11.95 %，主要原因是项目减少</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二、收入决算情况说明</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2019年度收入合计</w:t>
      </w:r>
      <w:r>
        <w:rPr>
          <w:rFonts w:hint="eastAsia" w:ascii="仿宋" w:hAnsi="仿宋" w:eastAsia="仿宋" w:cs="仿宋"/>
          <w:color w:val="000000"/>
          <w:kern w:val="0"/>
          <w:sz w:val="32"/>
          <w:szCs w:val="32"/>
          <w:lang w:val="en-US" w:eastAsia="zh-CN"/>
        </w:rPr>
        <w:t>266.05</w:t>
      </w:r>
      <w:r>
        <w:rPr>
          <w:rFonts w:hint="eastAsia" w:ascii="仿宋" w:hAnsi="仿宋" w:eastAsia="仿宋" w:cs="仿宋"/>
          <w:color w:val="000000"/>
          <w:kern w:val="0"/>
          <w:sz w:val="32"/>
          <w:szCs w:val="32"/>
        </w:rPr>
        <w:t>万元，其中：</w:t>
      </w:r>
    </w:p>
    <w:p>
      <w:pPr>
        <w:autoSpaceDE w:val="0"/>
        <w:autoSpaceDN w:val="0"/>
        <w:adjustRightInd w:val="0"/>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）财政拨款收入</w:t>
      </w:r>
      <w:r>
        <w:rPr>
          <w:rFonts w:hint="eastAsia" w:ascii="仿宋" w:hAnsi="仿宋" w:eastAsia="仿宋" w:cs="仿宋"/>
          <w:color w:val="000000"/>
          <w:sz w:val="32"/>
          <w:szCs w:val="32"/>
          <w:lang w:val="en-US" w:eastAsia="zh-CN"/>
        </w:rPr>
        <w:t>266.05</w:t>
      </w:r>
      <w:r>
        <w:rPr>
          <w:rFonts w:hint="eastAsia" w:ascii="仿宋" w:hAnsi="仿宋" w:eastAsia="仿宋" w:cs="仿宋"/>
          <w:color w:val="000000"/>
          <w:sz w:val="32"/>
          <w:szCs w:val="32"/>
        </w:rPr>
        <w:t>万元，占收入的</w:t>
      </w:r>
      <w:r>
        <w:rPr>
          <w:rFonts w:hint="eastAsia" w:ascii="仿宋" w:hAnsi="仿宋" w:eastAsia="仿宋" w:cs="仿宋"/>
          <w:sz w:val="32"/>
          <w:szCs w:val="32"/>
          <w:lang w:val="en-US" w:eastAsia="zh-CN"/>
        </w:rPr>
        <w:t>100</w:t>
      </w:r>
      <w:r>
        <w:rPr>
          <w:rFonts w:hint="eastAsia" w:ascii="仿宋" w:hAnsi="仿宋" w:eastAsia="仿宋" w:cs="仿宋"/>
          <w:color w:val="000000"/>
          <w:sz w:val="32"/>
          <w:szCs w:val="32"/>
        </w:rPr>
        <w:t xml:space="preserve">%，较上年减少 </w:t>
      </w:r>
      <w:r>
        <w:rPr>
          <w:rFonts w:hint="eastAsia" w:ascii="仿宋" w:hAnsi="仿宋" w:eastAsia="仿宋" w:cs="仿宋"/>
          <w:color w:val="000000"/>
          <w:sz w:val="32"/>
          <w:szCs w:val="32"/>
          <w:lang w:val="en-US" w:eastAsia="zh-CN"/>
        </w:rPr>
        <w:t>31.53</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10.60</w:t>
      </w:r>
      <w:r>
        <w:rPr>
          <w:rFonts w:hint="eastAsia" w:ascii="仿宋" w:hAnsi="仿宋" w:eastAsia="仿宋" w:cs="仿宋"/>
          <w:color w:val="000000"/>
          <w:sz w:val="32"/>
          <w:szCs w:val="32"/>
        </w:rPr>
        <w:t>%，主要原因是</w:t>
      </w:r>
      <w:r>
        <w:rPr>
          <w:rFonts w:hint="eastAsia" w:ascii="仿宋" w:hAnsi="仿宋" w:eastAsia="仿宋" w:cs="仿宋"/>
          <w:color w:val="000000"/>
          <w:sz w:val="32"/>
          <w:szCs w:val="32"/>
          <w:lang w:eastAsia="zh-CN"/>
        </w:rPr>
        <w:t>项目减少。</w:t>
      </w:r>
    </w:p>
    <w:p>
      <w:pPr>
        <w:pStyle w:val="4"/>
        <w:shd w:val="clear" w:color="auto" w:fill="FFFFFF"/>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）事业收入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万元，占收入的</w:t>
      </w:r>
      <w:r>
        <w:rPr>
          <w:rFonts w:hint="eastAsia" w:ascii="仿宋" w:hAnsi="仿宋" w:eastAsia="仿宋" w:cs="仿宋"/>
          <w:sz w:val="32"/>
          <w:szCs w:val="32"/>
          <w:lang w:val="en-US" w:eastAsia="zh-CN"/>
        </w:rPr>
        <w:t>0</w:t>
      </w:r>
      <w:r>
        <w:rPr>
          <w:rFonts w:hint="eastAsia" w:ascii="仿宋" w:hAnsi="仿宋" w:eastAsia="仿宋" w:cs="仿宋"/>
          <w:color w:val="000000"/>
          <w:sz w:val="32"/>
          <w:szCs w:val="32"/>
        </w:rPr>
        <w:t>%，较上年增加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，上下年无变化。</w:t>
      </w:r>
    </w:p>
    <w:p>
      <w:pPr>
        <w:pStyle w:val="4"/>
        <w:shd w:val="clear" w:color="auto" w:fill="FFFFFF"/>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）其他收入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万元，占总收入的</w:t>
      </w:r>
      <w:r>
        <w:rPr>
          <w:rFonts w:hint="eastAsia" w:ascii="仿宋" w:hAnsi="仿宋" w:eastAsia="仿宋" w:cs="仿宋"/>
          <w:sz w:val="32"/>
          <w:szCs w:val="32"/>
          <w:lang w:val="en-US" w:eastAsia="zh-CN"/>
        </w:rPr>
        <w:t>0</w:t>
      </w:r>
      <w:r>
        <w:rPr>
          <w:rFonts w:hint="eastAsia" w:ascii="仿宋" w:hAnsi="仿宋" w:eastAsia="仿宋" w:cs="仿宋"/>
          <w:color w:val="000000"/>
          <w:sz w:val="32"/>
          <w:szCs w:val="32"/>
        </w:rPr>
        <w:t>%，较上年增加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上下年无变化。</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三、支出决算情况说明  </w:t>
      </w:r>
    </w:p>
    <w:p>
      <w:pPr>
        <w:widowControl/>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color w:val="000000"/>
          <w:kern w:val="0"/>
          <w:sz w:val="32"/>
          <w:szCs w:val="32"/>
        </w:rPr>
        <w:t>2019年度支出合计</w:t>
      </w:r>
      <w:r>
        <w:rPr>
          <w:rFonts w:hint="eastAsia" w:ascii="仿宋" w:hAnsi="仿宋" w:eastAsia="仿宋" w:cs="仿宋"/>
          <w:color w:val="000000"/>
          <w:kern w:val="0"/>
          <w:sz w:val="32"/>
          <w:szCs w:val="32"/>
          <w:lang w:val="en-US" w:eastAsia="zh-CN"/>
        </w:rPr>
        <w:t>250.05</w:t>
      </w:r>
      <w:r>
        <w:rPr>
          <w:rFonts w:hint="eastAsia" w:ascii="仿宋" w:hAnsi="仿宋" w:eastAsia="仿宋" w:cs="仿宋"/>
          <w:color w:val="000000"/>
          <w:kern w:val="0"/>
          <w:sz w:val="32"/>
          <w:szCs w:val="32"/>
        </w:rPr>
        <w:t>万元，其中：</w:t>
      </w:r>
      <w:r>
        <w:rPr>
          <w:rFonts w:hint="eastAsia" w:ascii="仿宋" w:hAnsi="仿宋" w:eastAsia="仿宋" w:cs="仿宋"/>
          <w:color w:val="000000"/>
          <w:sz w:val="32"/>
          <w:szCs w:val="32"/>
        </w:rPr>
        <w:t>基本支出</w:t>
      </w:r>
      <w:r>
        <w:rPr>
          <w:rFonts w:hint="eastAsia" w:ascii="仿宋" w:hAnsi="仿宋" w:eastAsia="仿宋" w:cs="仿宋"/>
          <w:color w:val="000000"/>
          <w:sz w:val="32"/>
          <w:szCs w:val="32"/>
          <w:lang w:val="en-US" w:eastAsia="zh-CN"/>
        </w:rPr>
        <w:t>250.05</w:t>
      </w:r>
      <w:r>
        <w:rPr>
          <w:rFonts w:hint="eastAsia" w:ascii="仿宋" w:hAnsi="仿宋" w:eastAsia="仿宋" w:cs="仿宋"/>
          <w:color w:val="000000"/>
          <w:sz w:val="32"/>
          <w:szCs w:val="32"/>
        </w:rPr>
        <w:t>万元，占支出的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%，较上年减少</w:t>
      </w:r>
      <w:r>
        <w:rPr>
          <w:rFonts w:hint="eastAsia" w:ascii="仿宋" w:hAnsi="仿宋" w:eastAsia="仿宋" w:cs="仿宋"/>
          <w:color w:val="000000"/>
          <w:sz w:val="32"/>
          <w:szCs w:val="32"/>
          <w:lang w:val="en-US" w:eastAsia="zh-CN"/>
        </w:rPr>
        <w:t>35.57</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10.60</w:t>
      </w:r>
      <w:r>
        <w:rPr>
          <w:rFonts w:hint="eastAsia" w:ascii="仿宋" w:hAnsi="仿宋" w:eastAsia="仿宋" w:cs="仿宋"/>
          <w:color w:val="000000"/>
          <w:sz w:val="32"/>
          <w:szCs w:val="32"/>
        </w:rPr>
        <w:t>%，主要原因是</w:t>
      </w:r>
      <w:r>
        <w:rPr>
          <w:rFonts w:hint="eastAsia" w:ascii="仿宋" w:hAnsi="仿宋" w:eastAsia="仿宋" w:cs="仿宋"/>
          <w:color w:val="000000"/>
          <w:sz w:val="32"/>
          <w:szCs w:val="32"/>
          <w:lang w:eastAsia="zh-CN"/>
        </w:rPr>
        <w:t>项目减少</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万元，占支出的</w:t>
      </w:r>
      <w:r>
        <w:rPr>
          <w:rFonts w:hint="eastAsia" w:ascii="仿宋" w:hAnsi="仿宋" w:eastAsia="仿宋" w:cs="仿宋"/>
          <w:sz w:val="32"/>
          <w:szCs w:val="32"/>
          <w:lang w:val="en-US" w:eastAsia="zh-CN"/>
        </w:rPr>
        <w:t>0</w:t>
      </w:r>
      <w:r>
        <w:rPr>
          <w:rFonts w:hint="eastAsia" w:ascii="仿宋" w:hAnsi="仿宋" w:eastAsia="仿宋" w:cs="仿宋"/>
          <w:color w:val="000000"/>
          <w:sz w:val="32"/>
          <w:szCs w:val="32"/>
        </w:rPr>
        <w:t>%，较上年增加减少</w:t>
      </w:r>
      <w:r>
        <w:rPr>
          <w:rFonts w:hint="eastAsia" w:ascii="仿宋" w:hAnsi="仿宋" w:eastAsia="仿宋" w:cs="仿宋"/>
          <w:color w:val="000000"/>
          <w:sz w:val="32"/>
          <w:szCs w:val="32"/>
          <w:lang w:val="en-US" w:eastAsia="zh-CN"/>
        </w:rPr>
        <w:t>68.96</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%，主要原因是</w:t>
      </w:r>
      <w:r>
        <w:rPr>
          <w:rFonts w:hint="eastAsia" w:ascii="仿宋" w:hAnsi="仿宋" w:eastAsia="仿宋" w:cs="仿宋"/>
          <w:color w:val="000000"/>
          <w:sz w:val="32"/>
          <w:szCs w:val="32"/>
          <w:lang w:eastAsia="zh-CN"/>
        </w:rPr>
        <w:t>本年无项目。</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四、财政拨款收入支出决算总体情况说明  </w:t>
      </w:r>
    </w:p>
    <w:p>
      <w:pPr>
        <w:pStyle w:val="4"/>
        <w:shd w:val="clear" w:color="auto" w:fill="FFFFFF"/>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kern w:val="0"/>
          <w:sz w:val="32"/>
          <w:szCs w:val="32"/>
        </w:rPr>
        <w:t>2019年度财政拨款收入</w:t>
      </w:r>
      <w:r>
        <w:rPr>
          <w:rFonts w:hint="eastAsia" w:ascii="仿宋" w:hAnsi="仿宋" w:eastAsia="仿宋" w:cs="仿宋"/>
          <w:color w:val="000000"/>
          <w:sz w:val="32"/>
          <w:szCs w:val="32"/>
          <w:lang w:val="en-US" w:eastAsia="zh-CN"/>
        </w:rPr>
        <w:t>266.05</w:t>
      </w:r>
      <w:r>
        <w:rPr>
          <w:rFonts w:hint="eastAsia" w:ascii="仿宋" w:hAnsi="仿宋" w:eastAsia="仿宋" w:cs="仿宋"/>
          <w:kern w:val="0"/>
          <w:sz w:val="32"/>
          <w:szCs w:val="32"/>
        </w:rPr>
        <w:t>万元，较上年减少</w:t>
      </w:r>
      <w:r>
        <w:rPr>
          <w:rFonts w:hint="eastAsia" w:ascii="仿宋" w:hAnsi="仿宋" w:eastAsia="仿宋" w:cs="仿宋"/>
          <w:kern w:val="0"/>
          <w:sz w:val="32"/>
          <w:szCs w:val="32"/>
          <w:lang w:val="en-US" w:eastAsia="zh-CN"/>
        </w:rPr>
        <w:t>31.53</w:t>
      </w:r>
      <w:r>
        <w:rPr>
          <w:rFonts w:hint="eastAsia" w:ascii="仿宋" w:hAnsi="仿宋" w:eastAsia="仿宋" w:cs="仿宋"/>
          <w:kern w:val="0"/>
          <w:sz w:val="32"/>
          <w:szCs w:val="32"/>
        </w:rPr>
        <w:t>万元，</w:t>
      </w:r>
      <w:r>
        <w:rPr>
          <w:rFonts w:hint="eastAsia" w:ascii="仿宋" w:hAnsi="仿宋" w:eastAsia="仿宋" w:cs="仿宋"/>
          <w:color w:val="000000"/>
          <w:sz w:val="32"/>
          <w:szCs w:val="32"/>
        </w:rPr>
        <w:t>下降</w:t>
      </w:r>
      <w:r>
        <w:rPr>
          <w:rFonts w:hint="eastAsia" w:ascii="仿宋" w:hAnsi="仿宋" w:eastAsia="仿宋" w:cs="仿宋"/>
          <w:color w:val="000000"/>
          <w:sz w:val="32"/>
          <w:szCs w:val="32"/>
          <w:lang w:val="en-US" w:eastAsia="zh-CN"/>
        </w:rPr>
        <w:t>10.60</w:t>
      </w:r>
      <w:r>
        <w:rPr>
          <w:rFonts w:hint="eastAsia" w:ascii="仿宋" w:hAnsi="仿宋" w:eastAsia="仿宋" w:cs="仿宋"/>
          <w:color w:val="000000"/>
          <w:sz w:val="32"/>
          <w:szCs w:val="32"/>
        </w:rPr>
        <w:t>%</w:t>
      </w:r>
      <w:r>
        <w:rPr>
          <w:rFonts w:hint="eastAsia" w:ascii="仿宋" w:hAnsi="仿宋" w:eastAsia="仿宋" w:cs="仿宋"/>
          <w:kern w:val="0"/>
          <w:sz w:val="32"/>
          <w:szCs w:val="32"/>
        </w:rPr>
        <w:t>，主要原因是</w:t>
      </w:r>
      <w:r>
        <w:rPr>
          <w:rFonts w:hint="eastAsia" w:ascii="仿宋" w:hAnsi="仿宋" w:eastAsia="仿宋" w:cs="仿宋"/>
          <w:color w:val="000000"/>
          <w:sz w:val="32"/>
          <w:szCs w:val="32"/>
          <w:lang w:eastAsia="zh-CN"/>
        </w:rPr>
        <w:t>项目减少；</w:t>
      </w:r>
    </w:p>
    <w:p>
      <w:pPr>
        <w:pStyle w:val="4"/>
        <w:shd w:val="clear" w:color="auto" w:fill="FFFFFF"/>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kern w:val="0"/>
          <w:sz w:val="32"/>
          <w:szCs w:val="32"/>
        </w:rPr>
        <w:t>2019年度财政拨款支出</w:t>
      </w:r>
      <w:r>
        <w:rPr>
          <w:rFonts w:hint="eastAsia" w:ascii="仿宋" w:hAnsi="仿宋" w:eastAsia="仿宋" w:cs="仿宋"/>
          <w:color w:val="000000"/>
          <w:sz w:val="32"/>
          <w:szCs w:val="32"/>
          <w:lang w:val="en-US" w:eastAsia="zh-CN"/>
        </w:rPr>
        <w:t>250.05</w:t>
      </w:r>
      <w:r>
        <w:rPr>
          <w:rFonts w:hint="eastAsia" w:ascii="仿宋" w:hAnsi="仿宋" w:eastAsia="仿宋" w:cs="仿宋"/>
          <w:kern w:val="0"/>
          <w:sz w:val="32"/>
          <w:szCs w:val="32"/>
        </w:rPr>
        <w:t>万元，较上年减少</w:t>
      </w:r>
      <w:r>
        <w:rPr>
          <w:rFonts w:hint="eastAsia" w:ascii="仿宋" w:hAnsi="仿宋" w:eastAsia="仿宋" w:cs="仿宋"/>
          <w:kern w:val="0"/>
          <w:sz w:val="32"/>
          <w:szCs w:val="32"/>
          <w:lang w:val="en-US" w:eastAsia="zh-CN"/>
        </w:rPr>
        <w:t>35.57</w:t>
      </w:r>
      <w:r>
        <w:rPr>
          <w:rFonts w:hint="eastAsia" w:ascii="仿宋" w:hAnsi="仿宋" w:eastAsia="仿宋" w:cs="仿宋"/>
          <w:kern w:val="0"/>
          <w:sz w:val="32"/>
          <w:szCs w:val="32"/>
        </w:rPr>
        <w:t>万元，</w:t>
      </w:r>
      <w:r>
        <w:rPr>
          <w:rFonts w:hint="eastAsia" w:ascii="仿宋" w:hAnsi="仿宋" w:eastAsia="仿宋" w:cs="仿宋"/>
          <w:color w:val="000000"/>
          <w:sz w:val="32"/>
          <w:szCs w:val="32"/>
        </w:rPr>
        <w:t>下降</w:t>
      </w:r>
      <w:r>
        <w:rPr>
          <w:rFonts w:hint="eastAsia" w:ascii="仿宋" w:hAnsi="仿宋" w:eastAsia="仿宋" w:cs="仿宋"/>
          <w:color w:val="000000"/>
          <w:sz w:val="32"/>
          <w:szCs w:val="32"/>
          <w:lang w:val="en-US" w:eastAsia="zh-CN"/>
        </w:rPr>
        <w:t>11.95</w:t>
      </w:r>
      <w:r>
        <w:rPr>
          <w:rFonts w:hint="eastAsia" w:ascii="仿宋" w:hAnsi="仿宋" w:eastAsia="仿宋" w:cs="仿宋"/>
          <w:color w:val="000000"/>
          <w:sz w:val="32"/>
          <w:szCs w:val="32"/>
        </w:rPr>
        <w:t>%</w:t>
      </w:r>
      <w:r>
        <w:rPr>
          <w:rFonts w:hint="eastAsia" w:ascii="仿宋" w:hAnsi="仿宋" w:eastAsia="仿宋" w:cs="仿宋"/>
          <w:kern w:val="0"/>
          <w:sz w:val="32"/>
          <w:szCs w:val="32"/>
        </w:rPr>
        <w:t>，主要原因是</w:t>
      </w:r>
      <w:r>
        <w:rPr>
          <w:rFonts w:hint="eastAsia" w:ascii="仿宋" w:hAnsi="仿宋" w:eastAsia="仿宋" w:cs="仿宋"/>
          <w:color w:val="000000"/>
          <w:sz w:val="32"/>
          <w:szCs w:val="32"/>
          <w:lang w:eastAsia="zh-CN"/>
        </w:rPr>
        <w:t>项目减少。</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五、一般公共预算财政拨款支出决算情况说明</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（一）财政拨款支出决算总体情况说明</w:t>
      </w:r>
    </w:p>
    <w:p>
      <w:pPr>
        <w:widowControl/>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color w:val="000000"/>
          <w:kern w:val="0"/>
          <w:sz w:val="32"/>
          <w:szCs w:val="32"/>
        </w:rPr>
        <w:t>2019年财政拨款支出</w:t>
      </w:r>
      <w:r>
        <w:rPr>
          <w:rFonts w:hint="eastAsia" w:ascii="仿宋" w:hAnsi="仿宋" w:eastAsia="仿宋" w:cs="仿宋"/>
          <w:color w:val="000000"/>
          <w:kern w:val="0"/>
          <w:sz w:val="32"/>
          <w:szCs w:val="32"/>
          <w:lang w:val="en-US" w:eastAsia="zh-CN"/>
        </w:rPr>
        <w:t>250.05</w:t>
      </w:r>
      <w:r>
        <w:rPr>
          <w:rFonts w:hint="eastAsia" w:ascii="仿宋" w:hAnsi="仿宋" w:eastAsia="仿宋" w:cs="仿宋"/>
          <w:color w:val="000000"/>
          <w:kern w:val="0"/>
          <w:sz w:val="32"/>
          <w:szCs w:val="32"/>
        </w:rPr>
        <w:t>万</w:t>
      </w:r>
      <w:r>
        <w:rPr>
          <w:rFonts w:hint="eastAsia" w:ascii="仿宋" w:hAnsi="仿宋" w:eastAsia="仿宋" w:cs="仿宋"/>
          <w:color w:val="000000"/>
          <w:kern w:val="0"/>
          <w:sz w:val="32"/>
          <w:szCs w:val="32"/>
        </w:rPr>
        <w:t>元，占本年支出的</w:t>
      </w:r>
      <w:r>
        <w:rPr>
          <w:rFonts w:hint="eastAsia" w:ascii="仿宋" w:hAnsi="仿宋" w:eastAsia="仿宋" w:cs="仿宋"/>
          <w:color w:val="000000"/>
          <w:kern w:val="0"/>
          <w:sz w:val="32"/>
          <w:szCs w:val="32"/>
          <w:lang w:val="en-US" w:eastAsia="zh-CN"/>
        </w:rPr>
        <w:t>100</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rPr>
        <w:t>。财政拨款支出较上年减少</w:t>
      </w:r>
      <w:r>
        <w:rPr>
          <w:rFonts w:hint="eastAsia" w:ascii="仿宋" w:hAnsi="仿宋" w:eastAsia="仿宋" w:cs="仿宋"/>
          <w:color w:val="000000"/>
          <w:kern w:val="0"/>
          <w:sz w:val="32"/>
          <w:szCs w:val="32"/>
          <w:lang w:val="en-US" w:eastAsia="zh-CN"/>
        </w:rPr>
        <w:t>35.57</w:t>
      </w:r>
      <w:r>
        <w:rPr>
          <w:rFonts w:hint="eastAsia" w:ascii="仿宋" w:hAnsi="仿宋" w:eastAsia="仿宋" w:cs="仿宋"/>
          <w:color w:val="000000"/>
          <w:kern w:val="0"/>
          <w:sz w:val="32"/>
          <w:szCs w:val="32"/>
        </w:rPr>
        <w:t>万元，下降</w:t>
      </w:r>
      <w:r>
        <w:rPr>
          <w:rFonts w:hint="eastAsia" w:ascii="仿宋" w:hAnsi="仿宋" w:eastAsia="仿宋" w:cs="仿宋"/>
          <w:color w:val="000000"/>
          <w:kern w:val="0"/>
          <w:sz w:val="32"/>
          <w:szCs w:val="32"/>
          <w:lang w:val="en-US" w:eastAsia="zh-CN"/>
        </w:rPr>
        <w:t>11.95</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rPr>
        <w:t>，主要原因是</w:t>
      </w:r>
      <w:r>
        <w:rPr>
          <w:rFonts w:hint="eastAsia" w:ascii="仿宋" w:hAnsi="仿宋" w:eastAsia="仿宋" w:cs="仿宋"/>
          <w:color w:val="000000"/>
          <w:kern w:val="0"/>
          <w:sz w:val="32"/>
          <w:szCs w:val="32"/>
          <w:lang w:eastAsia="zh-CN"/>
        </w:rPr>
        <w:t>项目减少。</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（二）财政拨款支出决算具体情况说明</w:t>
      </w:r>
    </w:p>
    <w:p>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2019</w:t>
      </w:r>
      <w:r>
        <w:rPr>
          <w:rFonts w:hint="eastAsia" w:ascii="仿宋" w:hAnsi="仿宋" w:eastAsia="仿宋" w:cs="仿宋"/>
          <w:color w:val="000000"/>
          <w:kern w:val="0"/>
          <w:sz w:val="32"/>
          <w:szCs w:val="32"/>
        </w:rPr>
        <w:t>年度财政拨款支出年初预算为</w:t>
      </w:r>
      <w:r>
        <w:rPr>
          <w:rFonts w:hint="eastAsia" w:ascii="仿宋" w:hAnsi="仿宋" w:eastAsia="仿宋" w:cs="仿宋"/>
          <w:color w:val="000000"/>
          <w:kern w:val="0"/>
          <w:sz w:val="32"/>
          <w:szCs w:val="32"/>
          <w:lang w:val="en-US" w:eastAsia="zh-CN"/>
        </w:rPr>
        <w:t>229.99</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lang w:val="en-US" w:eastAsia="zh-CN"/>
        </w:rPr>
        <w:t>250.05</w:t>
      </w:r>
      <w:r>
        <w:rPr>
          <w:rFonts w:hint="eastAsia" w:ascii="仿宋" w:hAnsi="仿宋" w:eastAsia="仿宋" w:cs="仿宋"/>
          <w:color w:val="000000"/>
          <w:kern w:val="0"/>
          <w:sz w:val="32"/>
          <w:szCs w:val="32"/>
        </w:rPr>
        <w:t>万元，完成年初预算的</w:t>
      </w:r>
      <w:r>
        <w:rPr>
          <w:rFonts w:hint="eastAsia" w:ascii="仿宋" w:hAnsi="仿宋" w:eastAsia="仿宋" w:cs="仿宋"/>
          <w:color w:val="000000"/>
          <w:kern w:val="0"/>
          <w:sz w:val="32"/>
          <w:szCs w:val="32"/>
          <w:lang w:val="en-US" w:eastAsia="zh-CN"/>
        </w:rPr>
        <w:t>108.72</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rPr>
        <w:t>。按照政府功能分类科目，其中：</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rPr>
        <w:t>一般公共服务支出（类）财政事务（款）行政运行（项）。</w:t>
      </w:r>
      <w:r>
        <w:rPr>
          <w:rFonts w:hint="eastAsia" w:ascii="仿宋" w:hAnsi="仿宋" w:eastAsia="仿宋" w:cs="仿宋"/>
          <w:color w:val="000000"/>
          <w:kern w:val="0"/>
          <w:sz w:val="32"/>
          <w:szCs w:val="32"/>
        </w:rPr>
        <w:t xml:space="preserve"> </w:t>
      </w:r>
    </w:p>
    <w:p>
      <w:pPr>
        <w:widowControl/>
        <w:spacing w:line="560" w:lineRule="exact"/>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年初预算为</w:t>
      </w:r>
      <w:r>
        <w:rPr>
          <w:rFonts w:hint="eastAsia" w:ascii="仿宋" w:hAnsi="仿宋" w:eastAsia="仿宋" w:cs="仿宋"/>
          <w:color w:val="000000"/>
          <w:kern w:val="0"/>
          <w:sz w:val="32"/>
          <w:szCs w:val="32"/>
          <w:lang w:val="en-US" w:eastAsia="zh-CN"/>
        </w:rPr>
        <w:t>229.99</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lang w:val="en-US" w:eastAsia="zh-CN"/>
        </w:rPr>
        <w:t>250.05</w:t>
      </w:r>
      <w:r>
        <w:rPr>
          <w:rFonts w:hint="eastAsia" w:ascii="仿宋" w:hAnsi="仿宋" w:eastAsia="仿宋" w:cs="仿宋"/>
          <w:color w:val="000000"/>
          <w:kern w:val="0"/>
          <w:sz w:val="32"/>
          <w:szCs w:val="32"/>
        </w:rPr>
        <w:t>万元，完成年初预算的</w:t>
      </w:r>
      <w:r>
        <w:rPr>
          <w:rFonts w:hint="eastAsia" w:ascii="仿宋" w:hAnsi="仿宋" w:eastAsia="仿宋" w:cs="仿宋"/>
          <w:color w:val="000000"/>
          <w:kern w:val="0"/>
          <w:sz w:val="32"/>
          <w:szCs w:val="32"/>
          <w:lang w:val="en-US" w:eastAsia="zh-CN"/>
        </w:rPr>
        <w:t>108.72</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rPr>
        <w:t>。决算数大于预算数的主要原因是</w:t>
      </w:r>
      <w:r>
        <w:rPr>
          <w:rFonts w:hint="eastAsia" w:ascii="仿宋" w:hAnsi="仿宋" w:eastAsia="仿宋" w:cs="仿宋"/>
          <w:color w:val="000000"/>
          <w:kern w:val="0"/>
          <w:sz w:val="32"/>
          <w:szCs w:val="32"/>
          <w:lang w:eastAsia="zh-CN"/>
        </w:rPr>
        <w:t>政策性调资及人员增加。</w:t>
      </w:r>
    </w:p>
    <w:p>
      <w:pPr>
        <w:widowControl/>
        <w:numPr>
          <w:ilvl w:val="0"/>
          <w:numId w:val="3"/>
        </w:numPr>
        <w:spacing w:line="560" w:lineRule="exact"/>
        <w:ind w:firstLine="640" w:firstLineChars="200"/>
        <w:jc w:val="left"/>
        <w:rPr>
          <w:rStyle w:val="7"/>
          <w:rFonts w:hint="eastAsia" w:ascii="仿宋" w:hAnsi="仿宋" w:eastAsia="仿宋" w:cs="仿宋"/>
          <w:b w:val="0"/>
        </w:rPr>
      </w:pPr>
      <w:r>
        <w:rPr>
          <w:rStyle w:val="7"/>
          <w:rFonts w:hint="eastAsia" w:ascii="仿宋" w:hAnsi="仿宋" w:eastAsia="仿宋" w:cs="仿宋"/>
          <w:b w:val="0"/>
        </w:rPr>
        <w:t>一般公共服务支出（类）财政事务（款）一般行政管理事务（项）。</w:t>
      </w:r>
    </w:p>
    <w:p>
      <w:pPr>
        <w:widowControl/>
        <w:spacing w:line="560" w:lineRule="exact"/>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年初预算为</w:t>
      </w:r>
      <w:r>
        <w:rPr>
          <w:rFonts w:hint="eastAsia" w:ascii="仿宋" w:hAnsi="仿宋" w:eastAsia="仿宋" w:cs="仿宋"/>
          <w:color w:val="000000"/>
          <w:kern w:val="0"/>
          <w:sz w:val="32"/>
          <w:szCs w:val="32"/>
          <w:lang w:val="en-US" w:eastAsia="zh-CN"/>
        </w:rPr>
        <w:t>229.99</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lang w:val="en-US" w:eastAsia="zh-CN"/>
        </w:rPr>
        <w:t>250.05</w:t>
      </w:r>
      <w:r>
        <w:rPr>
          <w:rFonts w:hint="eastAsia" w:ascii="仿宋" w:hAnsi="仿宋" w:eastAsia="仿宋" w:cs="仿宋"/>
          <w:color w:val="000000"/>
          <w:kern w:val="0"/>
          <w:sz w:val="32"/>
          <w:szCs w:val="32"/>
        </w:rPr>
        <w:t>万元，完成年初预算的</w:t>
      </w:r>
      <w:r>
        <w:rPr>
          <w:rFonts w:hint="eastAsia" w:ascii="仿宋" w:hAnsi="仿宋" w:eastAsia="仿宋" w:cs="仿宋"/>
          <w:color w:val="000000"/>
          <w:kern w:val="0"/>
          <w:sz w:val="32"/>
          <w:szCs w:val="32"/>
          <w:lang w:val="en-US" w:eastAsia="zh-CN"/>
        </w:rPr>
        <w:t>108.72</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rPr>
        <w:t>。决算数大于预算数的主要原因是</w:t>
      </w:r>
      <w:r>
        <w:rPr>
          <w:rFonts w:hint="eastAsia" w:ascii="仿宋" w:hAnsi="仿宋" w:eastAsia="仿宋" w:cs="仿宋"/>
          <w:color w:val="000000"/>
          <w:kern w:val="0"/>
          <w:sz w:val="32"/>
          <w:szCs w:val="32"/>
          <w:lang w:eastAsia="zh-CN"/>
        </w:rPr>
        <w:t>政策性调资及人员增加。</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六、一般公共预算财政拨款基本支出决算情况说明</w:t>
      </w:r>
      <w:r>
        <w:rPr>
          <w:rFonts w:hint="eastAsia" w:ascii="仿宋" w:hAnsi="仿宋" w:eastAsia="仿宋" w:cs="仿宋"/>
          <w:color w:val="000000"/>
          <w:kern w:val="0"/>
          <w:sz w:val="32"/>
          <w:szCs w:val="32"/>
        </w:rPr>
        <w:t xml:space="preserve"> </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2019年度一般公共预算财政拨款基本支出250.62万元，用于保障机构正常运转和日常工作需要。包括：</w:t>
      </w:r>
    </w:p>
    <w:p>
      <w:pPr>
        <w:widowControl/>
        <w:spacing w:line="495"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w:t>
      </w:r>
      <w:r>
        <w:rPr>
          <w:rFonts w:hint="eastAsia" w:ascii="仿宋" w:hAnsi="仿宋" w:eastAsia="仿宋" w:cs="仿宋"/>
          <w:color w:val="333333"/>
          <w:kern w:val="0"/>
          <w:sz w:val="32"/>
          <w:szCs w:val="32"/>
          <w:lang w:eastAsia="zh-CN"/>
        </w:rPr>
        <w:t>一</w:t>
      </w:r>
      <w:r>
        <w:rPr>
          <w:rFonts w:hint="eastAsia" w:ascii="仿宋" w:hAnsi="仿宋" w:eastAsia="仿宋" w:cs="仿宋"/>
          <w:color w:val="333333"/>
          <w:kern w:val="0"/>
          <w:sz w:val="32"/>
          <w:szCs w:val="32"/>
        </w:rPr>
        <w:t>）人员经费222.87万元，其中：工资福利支出203.12万元，</w:t>
      </w:r>
      <w:r>
        <w:rPr>
          <w:rFonts w:hint="eastAsia" w:ascii="仿宋" w:hAnsi="仿宋" w:eastAsia="仿宋" w:cs="仿宋"/>
          <w:color w:val="333333"/>
          <w:kern w:val="0"/>
          <w:sz w:val="32"/>
          <w:szCs w:val="32"/>
          <w:lang w:eastAsia="zh-CN"/>
        </w:rPr>
        <w:t>基本工资</w:t>
      </w:r>
      <w:r>
        <w:rPr>
          <w:rFonts w:hint="eastAsia" w:ascii="仿宋" w:hAnsi="仿宋" w:eastAsia="仿宋" w:cs="仿宋"/>
          <w:color w:val="333333"/>
          <w:kern w:val="0"/>
          <w:sz w:val="32"/>
          <w:szCs w:val="32"/>
          <w:lang w:val="en-US" w:eastAsia="zh-CN"/>
        </w:rPr>
        <w:t>92.69万元，津贴82.09万元，机关事业单位养老保险缴费31.12万元，职业年金缴费6.28万元，医疗保险缴费4.82万元，住房公积金缴费5.87万元。</w:t>
      </w:r>
    </w:p>
    <w:p>
      <w:pPr>
        <w:pStyle w:val="4"/>
        <w:shd w:val="clear" w:color="auto" w:fill="FFFFFF"/>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333333"/>
          <w:kern w:val="0"/>
          <w:sz w:val="32"/>
          <w:szCs w:val="32"/>
        </w:rPr>
        <w:t>（</w:t>
      </w:r>
      <w:r>
        <w:rPr>
          <w:rFonts w:hint="eastAsia" w:ascii="仿宋" w:hAnsi="仿宋" w:eastAsia="仿宋" w:cs="仿宋"/>
          <w:color w:val="333333"/>
          <w:kern w:val="0"/>
          <w:sz w:val="32"/>
          <w:szCs w:val="32"/>
          <w:lang w:eastAsia="zh-CN"/>
        </w:rPr>
        <w:t>二</w:t>
      </w:r>
      <w:r>
        <w:rPr>
          <w:rFonts w:hint="eastAsia" w:ascii="仿宋" w:hAnsi="仿宋" w:eastAsia="仿宋" w:cs="仿宋"/>
          <w:color w:val="333333"/>
          <w:kern w:val="0"/>
          <w:sz w:val="32"/>
          <w:szCs w:val="32"/>
        </w:rPr>
        <w:t>）公用经费24.89万元，其中：</w:t>
      </w:r>
      <w:r>
        <w:rPr>
          <w:rFonts w:hint="eastAsia" w:ascii="仿宋" w:hAnsi="仿宋" w:eastAsia="仿宋" w:cs="仿宋"/>
          <w:color w:val="333333"/>
          <w:kern w:val="0"/>
          <w:sz w:val="32"/>
          <w:szCs w:val="32"/>
          <w:lang w:eastAsia="zh-CN"/>
        </w:rPr>
        <w:t>办公费</w:t>
      </w:r>
      <w:r>
        <w:rPr>
          <w:rFonts w:hint="eastAsia" w:ascii="仿宋" w:hAnsi="仿宋" w:eastAsia="仿宋" w:cs="仿宋"/>
          <w:color w:val="333333"/>
          <w:kern w:val="0"/>
          <w:sz w:val="32"/>
          <w:szCs w:val="32"/>
          <w:lang w:val="en-US" w:eastAsia="zh-CN"/>
        </w:rPr>
        <w:t>2.69万元你，电费0.70万元，邮电费0.77万元，差费2.19万元，其他交通费17.39万元，工会经费1.15万元你，对个人及家庭补助支出2.29万元。</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七、一般公共预算财政拨款“三公”经费及会议费、培训费支出决算情况说明</w:t>
      </w:r>
      <w:r>
        <w:rPr>
          <w:rFonts w:hint="eastAsia" w:ascii="仿宋" w:hAnsi="仿宋" w:eastAsia="仿宋" w:cs="仿宋"/>
          <w:color w:val="000000"/>
          <w:kern w:val="0"/>
          <w:sz w:val="32"/>
          <w:szCs w:val="32"/>
        </w:rPr>
        <w:t xml:space="preserve"> </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（一）“三公”经费财政拨款支出决算总体情况说明</w:t>
      </w:r>
    </w:p>
    <w:p>
      <w:pPr>
        <w:pStyle w:val="4"/>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2019</w:t>
      </w:r>
      <w:r>
        <w:rPr>
          <w:rFonts w:hint="eastAsia" w:ascii="仿宋" w:hAnsi="仿宋" w:eastAsia="仿宋" w:cs="仿宋"/>
          <w:color w:val="000000"/>
          <w:kern w:val="0"/>
          <w:sz w:val="32"/>
          <w:szCs w:val="32"/>
        </w:rPr>
        <w:t>年度“三公”经费财政拨款支出预算为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万元，完成预算的</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。决算数较预算数减少（增加）</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万元，主要原因是无“三公”经费财政拨款预算支出；</w:t>
      </w:r>
      <w:r>
        <w:rPr>
          <w:rFonts w:hint="eastAsia" w:ascii="仿宋" w:hAnsi="仿宋" w:eastAsia="仿宋" w:cs="仿宋"/>
          <w:color w:val="000000"/>
          <w:sz w:val="32"/>
          <w:szCs w:val="32"/>
        </w:rPr>
        <w:t>决算数较上年减少（增加）</w:t>
      </w:r>
      <w:r>
        <w:rPr>
          <w:rFonts w:hint="eastAsia" w:ascii="仿宋" w:hAnsi="仿宋" w:eastAsia="仿宋" w:cs="仿宋"/>
          <w:color w:val="000000"/>
          <w:sz w:val="32"/>
          <w:szCs w:val="32"/>
        </w:rPr>
        <w:t>0</w:t>
      </w:r>
      <w:r>
        <w:rPr>
          <w:rFonts w:hint="eastAsia" w:ascii="仿宋" w:hAnsi="仿宋" w:eastAsia="仿宋" w:cs="仿宋"/>
          <w:color w:val="000000"/>
          <w:sz w:val="32"/>
          <w:szCs w:val="32"/>
        </w:rPr>
        <w:t>万元，下降（增长）</w:t>
      </w:r>
      <w:r>
        <w:rPr>
          <w:rFonts w:hint="eastAsia" w:ascii="仿宋" w:hAnsi="仿宋" w:eastAsia="仿宋" w:cs="仿宋"/>
          <w:color w:val="000000"/>
          <w:sz w:val="32"/>
          <w:szCs w:val="32"/>
        </w:rPr>
        <w:t>0%</w:t>
      </w:r>
      <w:r>
        <w:rPr>
          <w:rFonts w:hint="eastAsia" w:ascii="仿宋" w:hAnsi="仿宋" w:eastAsia="仿宋" w:cs="仿宋"/>
          <w:color w:val="000000"/>
          <w:sz w:val="32"/>
          <w:szCs w:val="32"/>
        </w:rPr>
        <w:t>，原因是无</w:t>
      </w:r>
      <w:r>
        <w:rPr>
          <w:rFonts w:hint="eastAsia" w:ascii="仿宋" w:hAnsi="仿宋" w:eastAsia="仿宋" w:cs="仿宋"/>
          <w:color w:val="000000"/>
          <w:kern w:val="0"/>
          <w:sz w:val="32"/>
          <w:szCs w:val="32"/>
        </w:rPr>
        <w:t>“三公”经费支出。</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（二）“三公”经费财政拨款支出决算具体情况说明</w:t>
      </w:r>
    </w:p>
    <w:p>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2019</w:t>
      </w:r>
      <w:r>
        <w:rPr>
          <w:rFonts w:hint="eastAsia" w:ascii="仿宋" w:hAnsi="仿宋" w:eastAsia="仿宋" w:cs="仿宋"/>
          <w:color w:val="000000"/>
          <w:kern w:val="0"/>
          <w:sz w:val="32"/>
          <w:szCs w:val="32"/>
        </w:rPr>
        <w:t>年度“三公”经费财政拨款支出决算中，因公出国（境）费支出决算</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w:t>
      </w:r>
      <w:r>
        <w:rPr>
          <w:rFonts w:hint="eastAsia" w:ascii="仿宋" w:hAnsi="仿宋" w:eastAsia="仿宋" w:cs="仿宋"/>
          <w:kern w:val="0"/>
          <w:sz w:val="32"/>
          <w:szCs w:val="32"/>
        </w:rPr>
        <w:t>占</w:t>
      </w:r>
      <w:r>
        <w:rPr>
          <w:rFonts w:hint="eastAsia" w:ascii="仿宋" w:hAnsi="仿宋" w:eastAsia="仿宋" w:cs="仿宋"/>
          <w:kern w:val="0"/>
          <w:sz w:val="32"/>
          <w:szCs w:val="32"/>
        </w:rPr>
        <w:t>0%</w:t>
      </w:r>
      <w:r>
        <w:rPr>
          <w:rFonts w:hint="eastAsia" w:ascii="仿宋" w:hAnsi="仿宋" w:eastAsia="仿宋" w:cs="仿宋"/>
          <w:kern w:val="0"/>
          <w:sz w:val="32"/>
          <w:szCs w:val="32"/>
        </w:rPr>
        <w:t>；公务用车购置费支出</w:t>
      </w:r>
      <w:r>
        <w:rPr>
          <w:rFonts w:hint="eastAsia" w:ascii="仿宋" w:hAnsi="仿宋" w:eastAsia="仿宋" w:cs="仿宋"/>
          <w:kern w:val="0"/>
          <w:sz w:val="32"/>
          <w:szCs w:val="32"/>
        </w:rPr>
        <w:t>0</w:t>
      </w:r>
      <w:r>
        <w:rPr>
          <w:rFonts w:hint="eastAsia" w:ascii="仿宋" w:hAnsi="仿宋" w:eastAsia="仿宋" w:cs="仿宋"/>
          <w:kern w:val="0"/>
          <w:sz w:val="32"/>
          <w:szCs w:val="32"/>
        </w:rPr>
        <w:t>万元，占</w:t>
      </w:r>
      <w:r>
        <w:rPr>
          <w:rFonts w:hint="eastAsia" w:ascii="仿宋" w:hAnsi="仿宋" w:eastAsia="仿宋" w:cs="仿宋"/>
          <w:kern w:val="0"/>
          <w:sz w:val="32"/>
          <w:szCs w:val="32"/>
        </w:rPr>
        <w:t>0%</w:t>
      </w:r>
      <w:r>
        <w:rPr>
          <w:rFonts w:hint="eastAsia" w:ascii="仿宋" w:hAnsi="仿宋" w:eastAsia="仿宋" w:cs="仿宋"/>
          <w:kern w:val="0"/>
          <w:sz w:val="32"/>
          <w:szCs w:val="32"/>
        </w:rPr>
        <w:t>；公务用车</w:t>
      </w:r>
      <w:r>
        <w:rPr>
          <w:rFonts w:hint="eastAsia" w:ascii="仿宋" w:hAnsi="仿宋" w:eastAsia="仿宋" w:cs="仿宋"/>
          <w:color w:val="000000"/>
          <w:kern w:val="0"/>
          <w:sz w:val="32"/>
          <w:szCs w:val="32"/>
        </w:rPr>
        <w:t>运行</w:t>
      </w:r>
      <w:r>
        <w:rPr>
          <w:rFonts w:hint="eastAsia" w:ascii="仿宋" w:hAnsi="仿宋" w:eastAsia="仿宋" w:cs="仿宋"/>
          <w:sz w:val="32"/>
          <w:szCs w:val="32"/>
        </w:rPr>
        <w:t>维护</w:t>
      </w:r>
      <w:r>
        <w:rPr>
          <w:rFonts w:hint="eastAsia" w:ascii="仿宋" w:hAnsi="仿宋" w:eastAsia="仿宋" w:cs="仿宋"/>
          <w:color w:val="000000"/>
          <w:kern w:val="0"/>
          <w:sz w:val="32"/>
          <w:szCs w:val="32"/>
        </w:rPr>
        <w:t>费支出决算</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万元，占</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；公务接待费支出决算</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万元，占</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。具体情况如下：</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rPr>
        <w:t>因公出国（境）支出情况说明</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sz w:val="32"/>
          <w:szCs w:val="32"/>
        </w:rPr>
        <w:t>2019</w:t>
      </w:r>
      <w:r>
        <w:rPr>
          <w:rFonts w:hint="eastAsia" w:ascii="仿宋" w:hAnsi="仿宋" w:eastAsia="仿宋" w:cs="仿宋"/>
          <w:sz w:val="32"/>
          <w:szCs w:val="32"/>
        </w:rPr>
        <w:t>年度因公出国（境）团组</w:t>
      </w:r>
      <w:r>
        <w:rPr>
          <w:rFonts w:hint="eastAsia" w:ascii="仿宋" w:hAnsi="仿宋" w:eastAsia="仿宋" w:cs="仿宋"/>
          <w:sz w:val="32"/>
          <w:szCs w:val="32"/>
        </w:rPr>
        <w:t>0</w:t>
      </w:r>
      <w:r>
        <w:rPr>
          <w:rFonts w:hint="eastAsia" w:ascii="仿宋" w:hAnsi="仿宋" w:eastAsia="仿宋" w:cs="仿宋"/>
          <w:sz w:val="32"/>
          <w:szCs w:val="32"/>
        </w:rPr>
        <w:t>个，</w:t>
      </w:r>
      <w:r>
        <w:rPr>
          <w:rFonts w:hint="eastAsia" w:ascii="仿宋" w:hAnsi="仿宋" w:eastAsia="仿宋" w:cs="仿宋"/>
          <w:sz w:val="32"/>
          <w:szCs w:val="32"/>
        </w:rPr>
        <w:t>0</w:t>
      </w:r>
      <w:r>
        <w:rPr>
          <w:rFonts w:hint="eastAsia" w:ascii="仿宋" w:hAnsi="仿宋" w:eastAsia="仿宋" w:cs="仿宋"/>
          <w:sz w:val="32"/>
          <w:szCs w:val="32"/>
        </w:rPr>
        <w:t>人次，</w:t>
      </w:r>
      <w:r>
        <w:rPr>
          <w:rFonts w:hint="eastAsia" w:ascii="仿宋" w:hAnsi="仿宋" w:eastAsia="仿宋" w:cs="仿宋"/>
          <w:color w:val="000000"/>
          <w:sz w:val="32"/>
          <w:szCs w:val="32"/>
        </w:rPr>
        <w:t>主要是本年度无</w:t>
      </w:r>
      <w:r>
        <w:rPr>
          <w:rFonts w:hint="eastAsia" w:ascii="仿宋" w:hAnsi="仿宋" w:eastAsia="仿宋" w:cs="仿宋"/>
          <w:sz w:val="32"/>
          <w:szCs w:val="32"/>
        </w:rPr>
        <w:t>因公出国（境）团组</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预算为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w:t>
      </w:r>
      <w:r>
        <w:rPr>
          <w:rFonts w:hint="eastAsia" w:ascii="仿宋" w:hAnsi="仿宋" w:eastAsia="仿宋" w:cs="仿宋"/>
          <w:sz w:val="32"/>
          <w:szCs w:val="32"/>
        </w:rPr>
        <w:t>（如没有支出填</w:t>
      </w:r>
      <w:r>
        <w:rPr>
          <w:rFonts w:hint="eastAsia" w:ascii="仿宋" w:hAnsi="仿宋" w:eastAsia="仿宋" w:cs="仿宋"/>
          <w:sz w:val="32"/>
          <w:szCs w:val="32"/>
        </w:rPr>
        <w:t>0</w:t>
      </w:r>
      <w:r>
        <w:rPr>
          <w:rFonts w:hint="eastAsia" w:ascii="仿宋" w:hAnsi="仿宋" w:eastAsia="仿宋" w:cs="仿宋"/>
          <w:sz w:val="32"/>
          <w:szCs w:val="32"/>
        </w:rPr>
        <w:t>）</w:t>
      </w:r>
      <w:r>
        <w:rPr>
          <w:rFonts w:hint="eastAsia" w:ascii="仿宋" w:hAnsi="仿宋" w:eastAsia="仿宋" w:cs="仿宋"/>
          <w:color w:val="000000"/>
          <w:kern w:val="0"/>
          <w:sz w:val="32"/>
          <w:szCs w:val="32"/>
        </w:rPr>
        <w:t>，完成预算的</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，决算数较预算数减少（增加）</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万元，主要原因是</w:t>
      </w:r>
      <w:r>
        <w:rPr>
          <w:rFonts w:hint="eastAsia" w:ascii="仿宋" w:hAnsi="仿宋" w:eastAsia="仿宋" w:cs="仿宋"/>
          <w:color w:val="000000"/>
          <w:sz w:val="32"/>
          <w:szCs w:val="32"/>
        </w:rPr>
        <w:t>本年度无</w:t>
      </w:r>
      <w:r>
        <w:rPr>
          <w:rFonts w:hint="eastAsia" w:ascii="仿宋" w:hAnsi="仿宋" w:eastAsia="仿宋" w:cs="仿宋"/>
          <w:sz w:val="32"/>
          <w:szCs w:val="32"/>
        </w:rPr>
        <w:t>因公出国（境）人员</w:t>
      </w:r>
      <w:r>
        <w:rPr>
          <w:rFonts w:hint="eastAsia" w:ascii="仿宋" w:hAnsi="仿宋" w:eastAsia="仿宋" w:cs="仿宋"/>
          <w:color w:val="000000"/>
          <w:kern w:val="0"/>
          <w:sz w:val="32"/>
          <w:szCs w:val="32"/>
        </w:rPr>
        <w:t>；决算数</w:t>
      </w:r>
      <w:r>
        <w:rPr>
          <w:rFonts w:hint="eastAsia" w:ascii="仿宋" w:hAnsi="仿宋" w:eastAsia="仿宋" w:cs="仿宋"/>
          <w:color w:val="000000"/>
          <w:sz w:val="32"/>
          <w:szCs w:val="32"/>
        </w:rPr>
        <w:t>较上年减少（增加）</w:t>
      </w:r>
      <w:r>
        <w:rPr>
          <w:rFonts w:hint="eastAsia" w:ascii="仿宋" w:hAnsi="仿宋" w:eastAsia="仿宋" w:cs="仿宋"/>
          <w:color w:val="000000"/>
          <w:sz w:val="32"/>
          <w:szCs w:val="32"/>
        </w:rPr>
        <w:t>0</w:t>
      </w:r>
      <w:r>
        <w:rPr>
          <w:rFonts w:hint="eastAsia" w:ascii="仿宋" w:hAnsi="仿宋" w:eastAsia="仿宋" w:cs="仿宋"/>
          <w:color w:val="000000"/>
          <w:sz w:val="32"/>
          <w:szCs w:val="32"/>
        </w:rPr>
        <w:t>万元，下降（增长）</w:t>
      </w:r>
      <w:r>
        <w:rPr>
          <w:rFonts w:hint="eastAsia"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主要原因是</w:t>
      </w:r>
      <w:r>
        <w:rPr>
          <w:rFonts w:hint="eastAsia" w:ascii="仿宋" w:hAnsi="仿宋" w:eastAsia="仿宋" w:cs="仿宋"/>
          <w:color w:val="000000"/>
          <w:sz w:val="32"/>
          <w:szCs w:val="32"/>
        </w:rPr>
        <w:t>本年度无</w:t>
      </w:r>
      <w:r>
        <w:rPr>
          <w:rFonts w:hint="eastAsia" w:ascii="仿宋" w:hAnsi="仿宋" w:eastAsia="仿宋" w:cs="仿宋"/>
          <w:sz w:val="32"/>
          <w:szCs w:val="32"/>
        </w:rPr>
        <w:t>因公出国（境）人员。</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rPr>
        <w:t>公务用车购置费用支出情况说明</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sz w:val="32"/>
          <w:szCs w:val="32"/>
        </w:rPr>
        <w:t>2019</w:t>
      </w:r>
      <w:r>
        <w:rPr>
          <w:rFonts w:hint="eastAsia" w:ascii="仿宋" w:hAnsi="仿宋" w:eastAsia="仿宋" w:cs="仿宋"/>
          <w:sz w:val="32"/>
          <w:szCs w:val="32"/>
        </w:rPr>
        <w:t>年度购置车辆</w:t>
      </w:r>
      <w:r>
        <w:rPr>
          <w:rFonts w:hint="eastAsia" w:ascii="仿宋" w:hAnsi="仿宋" w:eastAsia="仿宋" w:cs="仿宋"/>
          <w:sz w:val="32"/>
          <w:szCs w:val="32"/>
        </w:rPr>
        <w:t>0</w:t>
      </w:r>
      <w:r>
        <w:rPr>
          <w:rFonts w:hint="eastAsia" w:ascii="仿宋" w:hAnsi="仿宋" w:eastAsia="仿宋" w:cs="仿宋"/>
          <w:sz w:val="32"/>
          <w:szCs w:val="32"/>
        </w:rPr>
        <w:t>台，</w:t>
      </w:r>
      <w:r>
        <w:rPr>
          <w:rFonts w:hint="eastAsia" w:ascii="仿宋" w:hAnsi="仿宋" w:eastAsia="仿宋" w:cs="仿宋"/>
          <w:color w:val="000000"/>
          <w:sz w:val="32"/>
          <w:szCs w:val="32"/>
        </w:rPr>
        <w:t>主要是区</w:t>
      </w:r>
      <w:r>
        <w:rPr>
          <w:rFonts w:hint="eastAsia" w:ascii="仿宋" w:hAnsi="仿宋" w:eastAsia="仿宋" w:cs="仿宋"/>
          <w:color w:val="000000"/>
          <w:sz w:val="32"/>
          <w:szCs w:val="32"/>
        </w:rPr>
        <w:t>0</w:t>
      </w:r>
      <w:r>
        <w:rPr>
          <w:rFonts w:hint="eastAsia" w:ascii="仿宋" w:hAnsi="仿宋" w:eastAsia="仿宋" w:cs="仿宋"/>
          <w:color w:val="000000"/>
          <w:sz w:val="32"/>
          <w:szCs w:val="32"/>
        </w:rPr>
        <w:t>号文批复采购</w:t>
      </w:r>
      <w:r>
        <w:rPr>
          <w:rFonts w:hint="eastAsia"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预算为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w:t>
      </w:r>
      <w:r>
        <w:rPr>
          <w:rFonts w:hint="eastAsia" w:ascii="仿宋" w:hAnsi="仿宋" w:eastAsia="仿宋" w:cs="仿宋"/>
          <w:sz w:val="32"/>
          <w:szCs w:val="32"/>
        </w:rPr>
        <w:t>（如没有支出填</w:t>
      </w:r>
      <w:r>
        <w:rPr>
          <w:rFonts w:hint="eastAsia" w:ascii="仿宋" w:hAnsi="仿宋" w:eastAsia="仿宋" w:cs="仿宋"/>
          <w:sz w:val="32"/>
          <w:szCs w:val="32"/>
        </w:rPr>
        <w:t>0</w:t>
      </w:r>
      <w:r>
        <w:rPr>
          <w:rFonts w:hint="eastAsia" w:ascii="仿宋" w:hAnsi="仿宋" w:eastAsia="仿宋" w:cs="仿宋"/>
          <w:sz w:val="32"/>
          <w:szCs w:val="32"/>
        </w:rPr>
        <w:t>）</w:t>
      </w:r>
      <w:r>
        <w:rPr>
          <w:rFonts w:hint="eastAsia" w:ascii="仿宋" w:hAnsi="仿宋" w:eastAsia="仿宋" w:cs="仿宋"/>
          <w:color w:val="000000"/>
          <w:kern w:val="0"/>
          <w:sz w:val="32"/>
          <w:szCs w:val="32"/>
        </w:rPr>
        <w:t>，完成预算的</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，决算数较预算数减少（增加）</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万元，主要原因是单位无采购公车预算；决算数</w:t>
      </w:r>
      <w:r>
        <w:rPr>
          <w:rFonts w:hint="eastAsia" w:ascii="仿宋" w:hAnsi="仿宋" w:eastAsia="仿宋" w:cs="仿宋"/>
          <w:color w:val="000000"/>
          <w:sz w:val="32"/>
          <w:szCs w:val="32"/>
        </w:rPr>
        <w:t>较去年减少（增加）</w:t>
      </w:r>
      <w:r>
        <w:rPr>
          <w:rFonts w:hint="eastAsia" w:ascii="仿宋" w:hAnsi="仿宋" w:eastAsia="仿宋" w:cs="仿宋"/>
          <w:color w:val="000000"/>
          <w:sz w:val="32"/>
          <w:szCs w:val="32"/>
        </w:rPr>
        <w:t>0</w:t>
      </w:r>
      <w:r>
        <w:rPr>
          <w:rFonts w:hint="eastAsia" w:ascii="仿宋" w:hAnsi="仿宋" w:eastAsia="仿宋" w:cs="仿宋"/>
          <w:color w:val="000000"/>
          <w:sz w:val="32"/>
          <w:szCs w:val="32"/>
        </w:rPr>
        <w:t>万元，下降（增长）</w:t>
      </w:r>
      <w:r>
        <w:rPr>
          <w:rFonts w:hint="eastAsia"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主要原因是单位无公务车辆。</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w:t>
      </w:r>
      <w:r>
        <w:rPr>
          <w:rFonts w:hint="eastAsia" w:ascii="仿宋" w:hAnsi="仿宋" w:eastAsia="仿宋" w:cs="仿宋"/>
          <w:color w:val="000000"/>
          <w:kern w:val="0"/>
          <w:sz w:val="32"/>
          <w:szCs w:val="32"/>
        </w:rPr>
        <w:t>公务用车运行维护费用支出情况说明</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sz w:val="32"/>
          <w:szCs w:val="32"/>
        </w:rPr>
        <w:t>2019</w:t>
      </w:r>
      <w:r>
        <w:rPr>
          <w:rFonts w:hint="eastAsia" w:ascii="仿宋" w:hAnsi="仿宋" w:eastAsia="仿宋" w:cs="仿宋"/>
          <w:sz w:val="32"/>
          <w:szCs w:val="32"/>
        </w:rPr>
        <w:t>年度</w:t>
      </w:r>
      <w:r>
        <w:rPr>
          <w:rFonts w:hint="eastAsia" w:ascii="仿宋" w:hAnsi="仿宋" w:eastAsia="仿宋" w:cs="仿宋"/>
          <w:sz w:val="32"/>
          <w:szCs w:val="32"/>
        </w:rPr>
        <w:t>公务用车运行维护费</w:t>
      </w:r>
      <w:r>
        <w:rPr>
          <w:rFonts w:hint="eastAsia" w:ascii="仿宋" w:hAnsi="仿宋" w:eastAsia="仿宋" w:cs="仿宋"/>
          <w:color w:val="000000"/>
          <w:kern w:val="0"/>
          <w:sz w:val="32"/>
          <w:szCs w:val="32"/>
        </w:rPr>
        <w:t>预算为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w:t>
      </w:r>
      <w:r>
        <w:rPr>
          <w:rFonts w:hint="eastAsia" w:ascii="仿宋" w:hAnsi="仿宋" w:eastAsia="仿宋" w:cs="仿宋"/>
          <w:sz w:val="32"/>
          <w:szCs w:val="32"/>
        </w:rPr>
        <w:t>（如没有支出填</w:t>
      </w:r>
      <w:r>
        <w:rPr>
          <w:rFonts w:hint="eastAsia" w:ascii="仿宋" w:hAnsi="仿宋" w:eastAsia="仿宋" w:cs="仿宋"/>
          <w:sz w:val="32"/>
          <w:szCs w:val="32"/>
        </w:rPr>
        <w:t>0</w:t>
      </w:r>
      <w:r>
        <w:rPr>
          <w:rFonts w:hint="eastAsia" w:ascii="仿宋" w:hAnsi="仿宋" w:eastAsia="仿宋" w:cs="仿宋"/>
          <w:sz w:val="32"/>
          <w:szCs w:val="32"/>
        </w:rPr>
        <w:t>）</w:t>
      </w:r>
      <w:r>
        <w:rPr>
          <w:rFonts w:hint="eastAsia" w:ascii="仿宋" w:hAnsi="仿宋" w:eastAsia="仿宋" w:cs="仿宋"/>
          <w:color w:val="000000"/>
          <w:kern w:val="0"/>
          <w:sz w:val="32"/>
          <w:szCs w:val="32"/>
        </w:rPr>
        <w:t>，完成预算的</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，决算数较预算数减少（增加）</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万元，主要原因是单位无公务车辆；决算数</w:t>
      </w:r>
      <w:r>
        <w:rPr>
          <w:rFonts w:hint="eastAsia" w:ascii="仿宋" w:hAnsi="仿宋" w:eastAsia="仿宋" w:cs="仿宋"/>
          <w:color w:val="000000"/>
          <w:sz w:val="32"/>
          <w:szCs w:val="32"/>
        </w:rPr>
        <w:t>较上年减少（增加）</w:t>
      </w:r>
      <w:r>
        <w:rPr>
          <w:rFonts w:hint="eastAsia" w:ascii="仿宋" w:hAnsi="仿宋" w:eastAsia="仿宋" w:cs="仿宋"/>
          <w:color w:val="000000"/>
          <w:sz w:val="32"/>
          <w:szCs w:val="32"/>
        </w:rPr>
        <w:t>0</w:t>
      </w:r>
      <w:r>
        <w:rPr>
          <w:rFonts w:hint="eastAsia" w:ascii="仿宋" w:hAnsi="仿宋" w:eastAsia="仿宋" w:cs="仿宋"/>
          <w:color w:val="000000"/>
          <w:sz w:val="32"/>
          <w:szCs w:val="32"/>
        </w:rPr>
        <w:t>万元，下降（增长）</w:t>
      </w:r>
      <w:r>
        <w:rPr>
          <w:rFonts w:hint="eastAsia"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主要原因是单位无公务车辆。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4.</w:t>
      </w:r>
      <w:r>
        <w:rPr>
          <w:rFonts w:hint="eastAsia" w:ascii="仿宋" w:hAnsi="仿宋" w:eastAsia="仿宋" w:cs="仿宋"/>
          <w:bCs/>
          <w:sz w:val="32"/>
          <w:szCs w:val="32"/>
        </w:rPr>
        <w:t>公务接待费支出情况</w:t>
      </w:r>
      <w:r>
        <w:rPr>
          <w:rFonts w:hint="eastAsia" w:ascii="仿宋" w:hAnsi="仿宋" w:eastAsia="仿宋" w:cs="仿宋"/>
          <w:color w:val="000000"/>
          <w:kern w:val="0"/>
          <w:sz w:val="32"/>
          <w:szCs w:val="32"/>
        </w:rPr>
        <w:t>说明</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sz w:val="32"/>
          <w:szCs w:val="32"/>
        </w:rPr>
        <w:t>2019</w:t>
      </w:r>
      <w:r>
        <w:rPr>
          <w:rFonts w:hint="eastAsia" w:ascii="仿宋" w:hAnsi="仿宋" w:eastAsia="仿宋" w:cs="仿宋"/>
          <w:sz w:val="32"/>
          <w:szCs w:val="32"/>
        </w:rPr>
        <w:t>年度公务接待</w:t>
      </w:r>
      <w:r>
        <w:rPr>
          <w:rFonts w:hint="eastAsia" w:ascii="仿宋" w:hAnsi="仿宋" w:eastAsia="仿宋" w:cs="仿宋"/>
          <w:sz w:val="32"/>
          <w:szCs w:val="32"/>
        </w:rPr>
        <w:t>0</w:t>
      </w:r>
      <w:r>
        <w:rPr>
          <w:rFonts w:hint="eastAsia" w:ascii="仿宋" w:hAnsi="仿宋" w:eastAsia="仿宋" w:cs="仿宋"/>
          <w:sz w:val="32"/>
          <w:szCs w:val="32"/>
        </w:rPr>
        <w:t>批次，</w:t>
      </w:r>
      <w:r>
        <w:rPr>
          <w:rFonts w:hint="eastAsia" w:ascii="仿宋" w:hAnsi="仿宋" w:eastAsia="仿宋" w:cs="仿宋"/>
          <w:sz w:val="32"/>
          <w:szCs w:val="32"/>
        </w:rPr>
        <w:t>0</w:t>
      </w:r>
      <w:r>
        <w:rPr>
          <w:rFonts w:hint="eastAsia" w:ascii="仿宋" w:hAnsi="仿宋" w:eastAsia="仿宋" w:cs="仿宋"/>
          <w:sz w:val="32"/>
          <w:szCs w:val="32"/>
        </w:rPr>
        <w:t>人次，</w:t>
      </w:r>
      <w:r>
        <w:rPr>
          <w:rFonts w:hint="eastAsia" w:ascii="仿宋" w:hAnsi="仿宋" w:eastAsia="仿宋" w:cs="仿宋"/>
          <w:color w:val="000000"/>
          <w:sz w:val="32"/>
          <w:szCs w:val="32"/>
        </w:rPr>
        <w:t>主要包括</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无公务接待</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预算为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w:t>
      </w:r>
      <w:r>
        <w:rPr>
          <w:rFonts w:hint="eastAsia" w:ascii="仿宋" w:hAnsi="仿宋" w:eastAsia="仿宋" w:cs="仿宋"/>
          <w:sz w:val="32"/>
          <w:szCs w:val="32"/>
        </w:rPr>
        <w:t>（如没有支出填</w:t>
      </w:r>
      <w:r>
        <w:rPr>
          <w:rFonts w:hint="eastAsia" w:ascii="仿宋" w:hAnsi="仿宋" w:eastAsia="仿宋" w:cs="仿宋"/>
          <w:sz w:val="32"/>
          <w:szCs w:val="32"/>
        </w:rPr>
        <w:t>0</w:t>
      </w:r>
      <w:r>
        <w:rPr>
          <w:rFonts w:hint="eastAsia" w:ascii="仿宋" w:hAnsi="仿宋" w:eastAsia="仿宋" w:cs="仿宋"/>
          <w:sz w:val="32"/>
          <w:szCs w:val="32"/>
        </w:rPr>
        <w:t>）</w:t>
      </w:r>
      <w:r>
        <w:rPr>
          <w:rFonts w:hint="eastAsia" w:ascii="仿宋" w:hAnsi="仿宋" w:eastAsia="仿宋" w:cs="仿宋"/>
          <w:color w:val="000000"/>
          <w:kern w:val="0"/>
          <w:sz w:val="32"/>
          <w:szCs w:val="32"/>
        </w:rPr>
        <w:t>，完成预算的</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，决算数较预算数减少（增加）</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万元，主要原因是无</w:t>
      </w:r>
      <w:r>
        <w:rPr>
          <w:rFonts w:hint="eastAsia" w:ascii="仿宋" w:hAnsi="仿宋" w:eastAsia="仿宋" w:cs="仿宋"/>
          <w:sz w:val="32"/>
          <w:szCs w:val="32"/>
        </w:rPr>
        <w:t>公务接待任务</w:t>
      </w:r>
      <w:r>
        <w:rPr>
          <w:rFonts w:hint="eastAsia" w:ascii="仿宋" w:hAnsi="仿宋" w:eastAsia="仿宋" w:cs="仿宋"/>
          <w:color w:val="000000"/>
          <w:kern w:val="0"/>
          <w:sz w:val="32"/>
          <w:szCs w:val="32"/>
        </w:rPr>
        <w:t>。决算数</w:t>
      </w:r>
      <w:r>
        <w:rPr>
          <w:rFonts w:hint="eastAsia" w:ascii="仿宋" w:hAnsi="仿宋" w:eastAsia="仿宋" w:cs="仿宋"/>
          <w:color w:val="000000"/>
          <w:sz w:val="32"/>
          <w:szCs w:val="32"/>
        </w:rPr>
        <w:t>较上年减少（增加）</w:t>
      </w:r>
      <w:r>
        <w:rPr>
          <w:rFonts w:hint="eastAsia" w:ascii="仿宋" w:hAnsi="仿宋" w:eastAsia="仿宋" w:cs="仿宋"/>
          <w:color w:val="000000"/>
          <w:sz w:val="32"/>
          <w:szCs w:val="32"/>
        </w:rPr>
        <w:t>0</w:t>
      </w:r>
      <w:r>
        <w:rPr>
          <w:rFonts w:hint="eastAsia" w:ascii="仿宋" w:hAnsi="仿宋" w:eastAsia="仿宋" w:cs="仿宋"/>
          <w:color w:val="000000"/>
          <w:sz w:val="32"/>
          <w:szCs w:val="32"/>
        </w:rPr>
        <w:t>万元，下降（增长）</w:t>
      </w:r>
      <w:r>
        <w:rPr>
          <w:rFonts w:hint="eastAsia"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主要原因是无</w:t>
      </w:r>
      <w:r>
        <w:rPr>
          <w:rFonts w:hint="eastAsia" w:ascii="仿宋" w:hAnsi="仿宋" w:eastAsia="仿宋" w:cs="仿宋"/>
          <w:sz w:val="32"/>
          <w:szCs w:val="32"/>
        </w:rPr>
        <w:t>公务接待任务。</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（三）培训费支出情况说明</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sz w:val="32"/>
          <w:szCs w:val="32"/>
        </w:rPr>
        <w:t>2019</w:t>
      </w:r>
      <w:r>
        <w:rPr>
          <w:rFonts w:hint="eastAsia" w:ascii="仿宋" w:hAnsi="仿宋" w:eastAsia="仿宋" w:cs="仿宋"/>
          <w:sz w:val="32"/>
          <w:szCs w:val="32"/>
        </w:rPr>
        <w:t>年度</w:t>
      </w:r>
      <w:r>
        <w:rPr>
          <w:rFonts w:hint="eastAsia" w:ascii="仿宋" w:hAnsi="仿宋" w:eastAsia="仿宋" w:cs="仿宋"/>
          <w:sz w:val="32"/>
          <w:szCs w:val="32"/>
        </w:rPr>
        <w:t>培训费</w:t>
      </w:r>
      <w:r>
        <w:rPr>
          <w:rFonts w:hint="eastAsia" w:ascii="仿宋" w:hAnsi="仿宋" w:eastAsia="仿宋" w:cs="仿宋"/>
          <w:color w:val="000000"/>
          <w:kern w:val="0"/>
          <w:sz w:val="32"/>
          <w:szCs w:val="32"/>
        </w:rPr>
        <w:t>预算为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w:t>
      </w:r>
      <w:r>
        <w:rPr>
          <w:rFonts w:hint="eastAsia" w:ascii="仿宋" w:hAnsi="仿宋" w:eastAsia="仿宋" w:cs="仿宋"/>
          <w:sz w:val="32"/>
          <w:szCs w:val="32"/>
        </w:rPr>
        <w:t>（如没有支出填</w:t>
      </w:r>
      <w:r>
        <w:rPr>
          <w:rFonts w:hint="eastAsia" w:ascii="仿宋" w:hAnsi="仿宋" w:eastAsia="仿宋" w:cs="仿宋"/>
          <w:sz w:val="32"/>
          <w:szCs w:val="32"/>
        </w:rPr>
        <w:t>0</w:t>
      </w:r>
      <w:r>
        <w:rPr>
          <w:rFonts w:hint="eastAsia" w:ascii="仿宋" w:hAnsi="仿宋" w:eastAsia="仿宋" w:cs="仿宋"/>
          <w:sz w:val="32"/>
          <w:szCs w:val="32"/>
        </w:rPr>
        <w:t>）</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完成预算的</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，决算数较预算数减少（增加）</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万元，主要原因是未发生培训费用支出；决算数</w:t>
      </w:r>
      <w:r>
        <w:rPr>
          <w:rFonts w:hint="eastAsia" w:ascii="仿宋" w:hAnsi="仿宋" w:eastAsia="仿宋" w:cs="仿宋"/>
          <w:color w:val="000000"/>
          <w:sz w:val="32"/>
          <w:szCs w:val="32"/>
        </w:rPr>
        <w:t>较上年减少（增加）</w:t>
      </w:r>
      <w:r>
        <w:rPr>
          <w:rFonts w:hint="eastAsia" w:ascii="仿宋" w:hAnsi="仿宋" w:eastAsia="仿宋" w:cs="仿宋"/>
          <w:color w:val="000000"/>
          <w:sz w:val="32"/>
          <w:szCs w:val="32"/>
        </w:rPr>
        <w:t>0</w:t>
      </w:r>
      <w:r>
        <w:rPr>
          <w:rFonts w:hint="eastAsia" w:ascii="仿宋" w:hAnsi="仿宋" w:eastAsia="仿宋" w:cs="仿宋"/>
          <w:color w:val="000000"/>
          <w:sz w:val="32"/>
          <w:szCs w:val="32"/>
        </w:rPr>
        <w:t>万元，下降（增长）</w:t>
      </w:r>
      <w:r>
        <w:rPr>
          <w:rFonts w:hint="eastAsia"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主要原因是未产生培训支出费用。</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（四）会议费支出情况说明</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sz w:val="32"/>
          <w:szCs w:val="32"/>
        </w:rPr>
        <w:t>2019</w:t>
      </w:r>
      <w:r>
        <w:rPr>
          <w:rFonts w:hint="eastAsia" w:ascii="仿宋" w:hAnsi="仿宋" w:eastAsia="仿宋" w:cs="仿宋"/>
          <w:sz w:val="32"/>
          <w:szCs w:val="32"/>
        </w:rPr>
        <w:t>年度</w:t>
      </w:r>
      <w:r>
        <w:rPr>
          <w:rFonts w:hint="eastAsia" w:ascii="仿宋" w:hAnsi="仿宋" w:eastAsia="仿宋" w:cs="仿宋"/>
          <w:sz w:val="32"/>
          <w:szCs w:val="32"/>
        </w:rPr>
        <w:t>会议费</w:t>
      </w:r>
      <w:r>
        <w:rPr>
          <w:rFonts w:hint="eastAsia" w:ascii="仿宋" w:hAnsi="仿宋" w:eastAsia="仿宋" w:cs="仿宋"/>
          <w:color w:val="000000"/>
          <w:kern w:val="0"/>
          <w:sz w:val="32"/>
          <w:szCs w:val="32"/>
        </w:rPr>
        <w:t>预算为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w:t>
      </w:r>
      <w:r>
        <w:rPr>
          <w:rFonts w:hint="eastAsia" w:ascii="仿宋" w:hAnsi="仿宋" w:eastAsia="仿宋" w:cs="仿宋"/>
          <w:sz w:val="32"/>
          <w:szCs w:val="32"/>
        </w:rPr>
        <w:t>（如没有支出填</w:t>
      </w:r>
      <w:r>
        <w:rPr>
          <w:rFonts w:hint="eastAsia" w:ascii="仿宋" w:hAnsi="仿宋" w:eastAsia="仿宋" w:cs="仿宋"/>
          <w:sz w:val="32"/>
          <w:szCs w:val="32"/>
        </w:rPr>
        <w:t>0</w:t>
      </w:r>
      <w:r>
        <w:rPr>
          <w:rFonts w:hint="eastAsia" w:ascii="仿宋" w:hAnsi="仿宋" w:eastAsia="仿宋" w:cs="仿宋"/>
          <w:sz w:val="32"/>
          <w:szCs w:val="32"/>
        </w:rPr>
        <w:t>）</w:t>
      </w:r>
      <w:r>
        <w:rPr>
          <w:rFonts w:hint="eastAsia" w:ascii="仿宋" w:hAnsi="仿宋" w:eastAsia="仿宋" w:cs="仿宋"/>
          <w:color w:val="000000"/>
          <w:kern w:val="0"/>
          <w:sz w:val="32"/>
          <w:szCs w:val="32"/>
        </w:rPr>
        <w:t>，完成预算的</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，决算数较预算数减少（增加）</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万元，主要原因是未发生会议费用支出；决算数</w:t>
      </w:r>
      <w:r>
        <w:rPr>
          <w:rFonts w:hint="eastAsia" w:ascii="仿宋" w:hAnsi="仿宋" w:eastAsia="仿宋" w:cs="仿宋"/>
          <w:color w:val="000000"/>
          <w:sz w:val="32"/>
          <w:szCs w:val="32"/>
        </w:rPr>
        <w:t>较上年减少（增加）</w:t>
      </w:r>
      <w:r>
        <w:rPr>
          <w:rFonts w:hint="eastAsia" w:ascii="仿宋" w:hAnsi="仿宋" w:eastAsia="仿宋" w:cs="仿宋"/>
          <w:color w:val="000000"/>
          <w:sz w:val="32"/>
          <w:szCs w:val="32"/>
        </w:rPr>
        <w:t>0</w:t>
      </w:r>
      <w:r>
        <w:rPr>
          <w:rFonts w:hint="eastAsia" w:ascii="仿宋" w:hAnsi="仿宋" w:eastAsia="仿宋" w:cs="仿宋"/>
          <w:color w:val="000000"/>
          <w:sz w:val="32"/>
          <w:szCs w:val="32"/>
        </w:rPr>
        <w:t>万元，下降（增长）</w:t>
      </w:r>
      <w:r>
        <w:rPr>
          <w:rFonts w:hint="eastAsia"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主要原因是未发生会议费用支出。</w:t>
      </w:r>
    </w:p>
    <w:p>
      <w:pPr>
        <w:widowControl/>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（二）部门决算中项目绩效自评结果</w:t>
      </w:r>
      <w:r>
        <w:rPr>
          <w:rFonts w:hint="eastAsia" w:ascii="仿宋" w:hAnsi="仿宋" w:eastAsia="仿宋" w:cs="仿宋"/>
          <w:sz w:val="32"/>
          <w:szCs w:val="32"/>
        </w:rPr>
        <w:t xml:space="preserve"> </w:t>
      </w:r>
    </w:p>
    <w:p>
      <w:pPr>
        <w:widowControl/>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2019年本单位无项目支出。</w:t>
      </w:r>
    </w:p>
    <w:p>
      <w:pPr>
        <w:widowControl/>
        <w:numPr>
          <w:ilvl w:val="0"/>
          <w:numId w:val="4"/>
        </w:num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部门决算中整体支出绩效自评结果</w:t>
      </w:r>
    </w:p>
    <w:p>
      <w:pPr>
        <w:widowControl/>
        <w:ind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sz w:val="32"/>
          <w:szCs w:val="32"/>
          <w:lang w:val="en-US" w:eastAsia="zh-CN"/>
        </w:rPr>
        <w:t>2019年本单位无项目支出。</w:t>
      </w:r>
    </w:p>
    <w:p>
      <w:pPr>
        <w:widowControl/>
        <w:numPr>
          <w:ilvl w:val="0"/>
          <w:numId w:val="0"/>
        </w:numPr>
        <w:jc w:val="left"/>
        <w:rPr>
          <w:rFonts w:hint="eastAsia" w:ascii="仿宋" w:hAnsi="仿宋" w:eastAsia="仿宋" w:cs="仿宋"/>
          <w:color w:val="000000"/>
          <w:kern w:val="0"/>
          <w:sz w:val="32"/>
          <w:szCs w:val="32"/>
          <w:lang w:val="en-US" w:eastAsia="zh-CN"/>
        </w:rPr>
      </w:pPr>
    </w:p>
    <w:p>
      <w:pPr>
        <w:widowControl/>
        <w:jc w:val="left"/>
        <w:rPr>
          <w:rFonts w:hint="eastAsia" w:ascii="仿宋" w:hAnsi="仿宋" w:eastAsia="仿宋" w:cs="仿宋"/>
          <w:color w:val="000000"/>
          <w:kern w:val="0"/>
          <w:sz w:val="31"/>
          <w:szCs w:val="31"/>
        </w:rPr>
      </w:pPr>
      <w:bookmarkStart w:id="0" w:name="_MON_1662356829"/>
      <w:bookmarkEnd w:id="0"/>
    </w:p>
    <w:p>
      <w:pPr>
        <w:widowControl/>
        <w:jc w:val="left"/>
        <w:rPr>
          <w:rFonts w:hint="eastAsia" w:ascii="仿宋" w:hAnsi="仿宋" w:eastAsia="仿宋" w:cs="仿宋"/>
          <w:color w:val="000000"/>
          <w:kern w:val="0"/>
          <w:sz w:val="31"/>
          <w:szCs w:val="31"/>
        </w:rPr>
      </w:pPr>
    </w:p>
    <w:p>
      <w:pPr>
        <w:widowControl/>
        <w:jc w:val="left"/>
        <w:rPr>
          <w:rFonts w:hint="eastAsia" w:ascii="仿宋" w:hAnsi="仿宋" w:eastAsia="仿宋" w:cs="仿宋"/>
          <w:color w:val="000000"/>
          <w:kern w:val="0"/>
          <w:sz w:val="31"/>
          <w:szCs w:val="31"/>
        </w:rPr>
        <w:sectPr>
          <w:pgSz w:w="11906" w:h="16838"/>
          <w:pgMar w:top="1361" w:right="1701" w:bottom="1134" w:left="1134" w:header="851" w:footer="992" w:gutter="0"/>
          <w:cols w:space="425" w:num="1"/>
          <w:docGrid w:type="lines" w:linePitch="312" w:charSpace="0"/>
        </w:sectPr>
      </w:pPr>
    </w:p>
    <w:tbl>
      <w:tblPr>
        <w:tblStyle w:val="5"/>
        <w:tblW w:w="13777" w:type="dxa"/>
        <w:tblInd w:w="0" w:type="dxa"/>
        <w:tblLayout w:type="fixed"/>
        <w:tblCellMar>
          <w:top w:w="0" w:type="dxa"/>
          <w:left w:w="0" w:type="dxa"/>
          <w:bottom w:w="0" w:type="dxa"/>
          <w:right w:w="0" w:type="dxa"/>
        </w:tblCellMar>
      </w:tblPr>
      <w:tblGrid>
        <w:gridCol w:w="695"/>
        <w:gridCol w:w="503"/>
        <w:gridCol w:w="611"/>
        <w:gridCol w:w="380"/>
        <w:gridCol w:w="2244"/>
        <w:gridCol w:w="1063"/>
        <w:gridCol w:w="2173"/>
        <w:gridCol w:w="1217"/>
        <w:gridCol w:w="1000"/>
        <w:gridCol w:w="661"/>
        <w:gridCol w:w="661"/>
        <w:gridCol w:w="580"/>
        <w:gridCol w:w="1267"/>
        <w:gridCol w:w="168"/>
        <w:gridCol w:w="554"/>
      </w:tblGrid>
      <w:tr>
        <w:tblPrEx>
          <w:tblCellMar>
            <w:top w:w="0" w:type="dxa"/>
            <w:left w:w="0" w:type="dxa"/>
            <w:bottom w:w="0" w:type="dxa"/>
            <w:right w:w="0" w:type="dxa"/>
          </w:tblCellMar>
        </w:tblPrEx>
        <w:trPr>
          <w:trHeight w:val="870" w:hRule="atLeast"/>
        </w:trPr>
        <w:tc>
          <w:tcPr>
            <w:tcW w:w="13777" w:type="dxa"/>
            <w:gridSpan w:val="15"/>
            <w:tcBorders>
              <w:top w:val="single" w:color="D3D3D3" w:sz="4" w:space="0"/>
              <w:left w:val="single" w:color="D3D3D3" w:sz="4" w:space="0"/>
              <w:bottom w:val="single" w:color="D3D3D3" w:sz="4" w:space="0"/>
              <w:right w:val="single" w:color="D3D3D3" w:sz="4" w:space="0"/>
            </w:tcBorders>
            <w:tcMar>
              <w:top w:w="14" w:type="dxa"/>
              <w:left w:w="14" w:type="dxa"/>
              <w:bottom w:w="0" w:type="dxa"/>
              <w:right w:w="14" w:type="dxa"/>
            </w:tcMar>
          </w:tcPr>
          <w:p>
            <w:pPr>
              <w:spacing w:line="560" w:lineRule="exact"/>
              <w:jc w:val="center"/>
              <w:rPr>
                <w:rFonts w:hint="eastAsia" w:ascii="仿宋" w:hAnsi="仿宋" w:eastAsia="仿宋" w:cs="仿宋"/>
                <w:color w:val="000000"/>
                <w:sz w:val="18"/>
                <w:szCs w:val="18"/>
              </w:rPr>
            </w:pPr>
            <w:r>
              <w:rPr>
                <w:rFonts w:hint="eastAsia" w:ascii="仿宋" w:hAnsi="仿宋" w:eastAsia="仿宋" w:cs="仿宋"/>
                <w:b/>
                <w:bCs/>
                <w:sz w:val="28"/>
                <w:szCs w:val="28"/>
              </w:rPr>
              <w:t>部门整体支出绩效自评表</w:t>
            </w:r>
            <w:r>
              <w:rPr>
                <w:rFonts w:hint="eastAsia" w:ascii="仿宋" w:hAnsi="仿宋" w:eastAsia="仿宋" w:cs="仿宋"/>
                <w:b/>
                <w:bCs/>
                <w:sz w:val="28"/>
                <w:szCs w:val="28"/>
              </w:rPr>
              <w:br w:type="textWrapping"/>
            </w:r>
            <w:r>
              <w:rPr>
                <w:rFonts w:hint="eastAsia" w:ascii="仿宋" w:hAnsi="仿宋" w:eastAsia="仿宋" w:cs="仿宋"/>
                <w:b/>
                <w:bCs/>
                <w:sz w:val="28"/>
                <w:szCs w:val="28"/>
              </w:rPr>
              <w:t>（2019年度）</w:t>
            </w:r>
          </w:p>
        </w:tc>
      </w:tr>
      <w:tr>
        <w:tblPrEx>
          <w:tblCellMar>
            <w:top w:w="0" w:type="dxa"/>
            <w:left w:w="0" w:type="dxa"/>
            <w:bottom w:w="0" w:type="dxa"/>
            <w:right w:w="0" w:type="dxa"/>
          </w:tblCellMar>
        </w:tblPrEx>
        <w:trPr>
          <w:trHeight w:val="417" w:hRule="atLeast"/>
        </w:trPr>
        <w:tc>
          <w:tcPr>
            <w:tcW w:w="4433" w:type="dxa"/>
            <w:gridSpan w:val="5"/>
            <w:tcBorders>
              <w:top w:val="single" w:color="D3D3D3" w:sz="4" w:space="0"/>
              <w:left w:val="single" w:color="D3D3D3" w:sz="4" w:space="0"/>
              <w:bottom w:val="single" w:color="000000" w:sz="4" w:space="0"/>
              <w:right w:val="single" w:color="D3D3D3" w:sz="4" w:space="0"/>
            </w:tcBorders>
            <w:tcMar>
              <w:top w:w="14" w:type="dxa"/>
              <w:left w:w="14" w:type="dxa"/>
              <w:bottom w:w="0" w:type="dxa"/>
              <w:right w:w="14" w:type="dxa"/>
            </w:tcMar>
          </w:tcPr>
          <w:p>
            <w:pPr>
              <w:spacing w:line="560" w:lineRule="exact"/>
              <w:rPr>
                <w:rFonts w:hint="eastAsia" w:ascii="仿宋" w:hAnsi="仿宋" w:eastAsia="仿宋" w:cs="仿宋"/>
                <w:sz w:val="18"/>
                <w:szCs w:val="18"/>
                <w:lang w:val="en-US" w:eastAsia="zh-CN"/>
              </w:rPr>
            </w:pPr>
            <w:r>
              <w:rPr>
                <w:rFonts w:hint="eastAsia" w:ascii="仿宋" w:hAnsi="仿宋" w:eastAsia="仿宋" w:cs="仿宋"/>
                <w:sz w:val="18"/>
                <w:szCs w:val="18"/>
              </w:rPr>
              <w:t>填报单位:周至县</w:t>
            </w:r>
            <w:r>
              <w:rPr>
                <w:rFonts w:hint="eastAsia" w:ascii="仿宋" w:hAnsi="仿宋" w:eastAsia="仿宋" w:cs="仿宋"/>
                <w:sz w:val="18"/>
                <w:szCs w:val="18"/>
                <w:lang w:val="en-US" w:eastAsia="zh-CN"/>
              </w:rPr>
              <w:t>审计局</w:t>
            </w:r>
          </w:p>
        </w:tc>
        <w:tc>
          <w:tcPr>
            <w:tcW w:w="3236" w:type="dxa"/>
            <w:gridSpan w:val="2"/>
            <w:tcBorders>
              <w:top w:val="nil"/>
              <w:left w:val="nil"/>
              <w:bottom w:val="single" w:color="000000" w:sz="4" w:space="0"/>
              <w:right w:val="single" w:color="D3D3D3" w:sz="4" w:space="0"/>
            </w:tcBorders>
            <w:tcMar>
              <w:top w:w="14" w:type="dxa"/>
              <w:left w:w="14" w:type="dxa"/>
              <w:bottom w:w="0" w:type="dxa"/>
              <w:right w:w="14" w:type="dxa"/>
            </w:tcMar>
          </w:tcPr>
          <w:p>
            <w:pPr>
              <w:spacing w:line="560" w:lineRule="exact"/>
              <w:jc w:val="center"/>
              <w:rPr>
                <w:rFonts w:hint="eastAsia" w:ascii="仿宋" w:hAnsi="仿宋" w:eastAsia="仿宋" w:cs="仿宋"/>
                <w:sz w:val="18"/>
                <w:szCs w:val="18"/>
              </w:rPr>
            </w:pPr>
            <w:r>
              <w:rPr>
                <w:rFonts w:hint="eastAsia" w:ascii="仿宋" w:hAnsi="仿宋" w:eastAsia="仿宋" w:cs="仿宋"/>
                <w:sz w:val="18"/>
                <w:szCs w:val="18"/>
              </w:rPr>
              <w:t>自评得分：100</w:t>
            </w:r>
          </w:p>
        </w:tc>
        <w:tc>
          <w:tcPr>
            <w:tcW w:w="2217" w:type="dxa"/>
            <w:gridSpan w:val="2"/>
            <w:tcBorders>
              <w:top w:val="nil"/>
              <w:left w:val="nil"/>
              <w:bottom w:val="single" w:color="000000" w:sz="4" w:space="0"/>
              <w:right w:val="single" w:color="D3D3D3" w:sz="4" w:space="0"/>
            </w:tcBorders>
            <w:tcMar>
              <w:top w:w="14" w:type="dxa"/>
              <w:left w:w="14" w:type="dxa"/>
              <w:bottom w:w="0" w:type="dxa"/>
              <w:right w:w="14" w:type="dxa"/>
            </w:tcMar>
            <w:vAlign w:val="center"/>
          </w:tcPr>
          <w:p>
            <w:pPr>
              <w:spacing w:line="560" w:lineRule="exact"/>
              <w:rPr>
                <w:rFonts w:hint="eastAsia" w:ascii="仿宋" w:hAnsi="仿宋" w:eastAsia="仿宋" w:cs="仿宋"/>
                <w:color w:val="000000"/>
                <w:sz w:val="18"/>
                <w:szCs w:val="18"/>
              </w:rPr>
            </w:pPr>
            <w:r>
              <w:rPr>
                <w:rFonts w:hint="eastAsia" w:ascii="仿宋" w:hAnsi="仿宋" w:eastAsia="仿宋" w:cs="仿宋"/>
                <w:color w:val="000000"/>
                <w:sz w:val="18"/>
                <w:szCs w:val="18"/>
              </w:rPr>
              <w:t>　</w:t>
            </w:r>
          </w:p>
        </w:tc>
        <w:tc>
          <w:tcPr>
            <w:tcW w:w="661" w:type="dxa"/>
            <w:tcBorders>
              <w:top w:val="nil"/>
              <w:left w:val="nil"/>
              <w:bottom w:val="single" w:color="000000" w:sz="4" w:space="0"/>
              <w:right w:val="single" w:color="D3D3D3" w:sz="4" w:space="0"/>
            </w:tcBorders>
            <w:tcMar>
              <w:top w:w="14" w:type="dxa"/>
              <w:left w:w="14" w:type="dxa"/>
              <w:bottom w:w="0" w:type="dxa"/>
              <w:right w:w="14" w:type="dxa"/>
            </w:tcMar>
            <w:vAlign w:val="center"/>
          </w:tcPr>
          <w:p>
            <w:pPr>
              <w:spacing w:line="560" w:lineRule="exact"/>
              <w:rPr>
                <w:rFonts w:hint="eastAsia" w:ascii="仿宋" w:hAnsi="仿宋" w:eastAsia="仿宋" w:cs="仿宋"/>
                <w:color w:val="000000"/>
                <w:sz w:val="18"/>
                <w:szCs w:val="18"/>
              </w:rPr>
            </w:pPr>
            <w:r>
              <w:rPr>
                <w:rFonts w:hint="eastAsia" w:ascii="仿宋" w:hAnsi="仿宋" w:eastAsia="仿宋" w:cs="仿宋"/>
                <w:color w:val="000000"/>
                <w:sz w:val="18"/>
                <w:szCs w:val="18"/>
              </w:rPr>
              <w:t>　</w:t>
            </w:r>
          </w:p>
        </w:tc>
        <w:tc>
          <w:tcPr>
            <w:tcW w:w="661" w:type="dxa"/>
            <w:tcBorders>
              <w:top w:val="nil"/>
              <w:left w:val="nil"/>
              <w:bottom w:val="single" w:color="000000" w:sz="4" w:space="0"/>
              <w:right w:val="single" w:color="D3D3D3" w:sz="4" w:space="0"/>
            </w:tcBorders>
            <w:tcMar>
              <w:top w:w="14" w:type="dxa"/>
              <w:left w:w="14" w:type="dxa"/>
              <w:bottom w:w="0" w:type="dxa"/>
              <w:right w:w="14" w:type="dxa"/>
            </w:tcMar>
            <w:vAlign w:val="center"/>
          </w:tcPr>
          <w:p>
            <w:pPr>
              <w:spacing w:line="560" w:lineRule="exact"/>
              <w:rPr>
                <w:rFonts w:hint="eastAsia" w:ascii="仿宋" w:hAnsi="仿宋" w:eastAsia="仿宋" w:cs="仿宋"/>
                <w:color w:val="000000"/>
                <w:sz w:val="18"/>
                <w:szCs w:val="18"/>
              </w:rPr>
            </w:pPr>
            <w:r>
              <w:rPr>
                <w:rFonts w:hint="eastAsia" w:ascii="仿宋" w:hAnsi="仿宋" w:eastAsia="仿宋" w:cs="仿宋"/>
                <w:color w:val="000000"/>
                <w:sz w:val="18"/>
                <w:szCs w:val="18"/>
              </w:rPr>
              <w:t>　</w:t>
            </w:r>
          </w:p>
        </w:tc>
        <w:tc>
          <w:tcPr>
            <w:tcW w:w="580" w:type="dxa"/>
            <w:tcBorders>
              <w:top w:val="nil"/>
              <w:left w:val="nil"/>
              <w:bottom w:val="single" w:color="000000" w:sz="4" w:space="0"/>
              <w:right w:val="single" w:color="D3D3D3" w:sz="4" w:space="0"/>
            </w:tcBorders>
            <w:tcMar>
              <w:top w:w="14" w:type="dxa"/>
              <w:left w:w="14" w:type="dxa"/>
              <w:bottom w:w="0" w:type="dxa"/>
              <w:right w:w="14" w:type="dxa"/>
            </w:tcMar>
            <w:vAlign w:val="center"/>
          </w:tcPr>
          <w:p>
            <w:pPr>
              <w:spacing w:line="560" w:lineRule="exact"/>
              <w:rPr>
                <w:rFonts w:hint="eastAsia" w:ascii="仿宋" w:hAnsi="仿宋" w:eastAsia="仿宋" w:cs="仿宋"/>
                <w:color w:val="000000"/>
                <w:sz w:val="18"/>
                <w:szCs w:val="18"/>
              </w:rPr>
            </w:pPr>
            <w:r>
              <w:rPr>
                <w:rFonts w:hint="eastAsia" w:ascii="仿宋" w:hAnsi="仿宋" w:eastAsia="仿宋" w:cs="仿宋"/>
                <w:color w:val="000000"/>
                <w:sz w:val="18"/>
                <w:szCs w:val="18"/>
              </w:rPr>
              <w:t>　</w:t>
            </w:r>
          </w:p>
        </w:tc>
        <w:tc>
          <w:tcPr>
            <w:tcW w:w="1435" w:type="dxa"/>
            <w:gridSpan w:val="2"/>
            <w:tcBorders>
              <w:top w:val="nil"/>
              <w:left w:val="nil"/>
              <w:bottom w:val="single" w:color="000000" w:sz="4" w:space="0"/>
              <w:right w:val="single" w:color="D3D3D3" w:sz="4" w:space="0"/>
            </w:tcBorders>
            <w:tcMar>
              <w:top w:w="14" w:type="dxa"/>
              <w:left w:w="14" w:type="dxa"/>
              <w:bottom w:w="0" w:type="dxa"/>
              <w:right w:w="14" w:type="dxa"/>
            </w:tcMar>
            <w:vAlign w:val="center"/>
          </w:tcPr>
          <w:p>
            <w:pPr>
              <w:spacing w:line="560" w:lineRule="exact"/>
              <w:rPr>
                <w:rFonts w:hint="eastAsia" w:ascii="仿宋" w:hAnsi="仿宋" w:eastAsia="仿宋" w:cs="仿宋"/>
                <w:color w:val="000000"/>
                <w:sz w:val="18"/>
                <w:szCs w:val="18"/>
              </w:rPr>
            </w:pPr>
            <w:r>
              <w:rPr>
                <w:rFonts w:hint="eastAsia" w:ascii="仿宋" w:hAnsi="仿宋" w:eastAsia="仿宋" w:cs="仿宋"/>
                <w:color w:val="000000"/>
                <w:sz w:val="18"/>
                <w:szCs w:val="18"/>
              </w:rPr>
              <w:t>　</w:t>
            </w:r>
          </w:p>
        </w:tc>
        <w:tc>
          <w:tcPr>
            <w:tcW w:w="554" w:type="dxa"/>
            <w:tcBorders>
              <w:top w:val="nil"/>
              <w:left w:val="nil"/>
              <w:bottom w:val="single" w:color="000000" w:sz="4" w:space="0"/>
              <w:right w:val="single" w:color="D3D3D3" w:sz="4" w:space="0"/>
            </w:tcBorders>
            <w:tcMar>
              <w:top w:w="14" w:type="dxa"/>
              <w:left w:w="14" w:type="dxa"/>
              <w:bottom w:w="0" w:type="dxa"/>
              <w:right w:w="14" w:type="dxa"/>
            </w:tcMar>
            <w:vAlign w:val="center"/>
          </w:tcPr>
          <w:p>
            <w:pPr>
              <w:spacing w:line="560" w:lineRule="exact"/>
              <w:rPr>
                <w:rFonts w:hint="eastAsia" w:ascii="仿宋" w:hAnsi="仿宋" w:eastAsia="仿宋" w:cs="仿宋"/>
                <w:color w:val="000000"/>
                <w:sz w:val="18"/>
                <w:szCs w:val="18"/>
              </w:rPr>
            </w:pPr>
            <w:r>
              <w:rPr>
                <w:rFonts w:hint="eastAsia" w:ascii="仿宋" w:hAnsi="仿宋" w:eastAsia="仿宋" w:cs="仿宋"/>
                <w:color w:val="000000"/>
                <w:sz w:val="18"/>
                <w:szCs w:val="18"/>
              </w:rPr>
              <w:t>　</w:t>
            </w:r>
          </w:p>
        </w:tc>
      </w:tr>
      <w:tr>
        <w:tblPrEx>
          <w:tblCellMar>
            <w:top w:w="0" w:type="dxa"/>
            <w:left w:w="0" w:type="dxa"/>
            <w:bottom w:w="0" w:type="dxa"/>
            <w:right w:w="0" w:type="dxa"/>
          </w:tblCellMar>
        </w:tblPrEx>
        <w:trPr>
          <w:trHeight w:val="1216" w:hRule="atLeast"/>
        </w:trPr>
        <w:tc>
          <w:tcPr>
            <w:tcW w:w="4433" w:type="dxa"/>
            <w:gridSpan w:val="5"/>
            <w:tcBorders>
              <w:top w:val="single" w:color="000000" w:sz="4" w:space="0"/>
              <w:left w:val="single" w:color="000000" w:sz="4" w:space="0"/>
              <w:bottom w:val="single" w:color="000000" w:sz="4" w:space="0"/>
              <w:right w:val="single" w:color="000000" w:sz="4" w:space="0"/>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r>
              <w:rPr>
                <w:rFonts w:hint="eastAsia" w:ascii="仿宋" w:hAnsi="仿宋" w:eastAsia="仿宋" w:cs="仿宋"/>
                <w:color w:val="333333"/>
                <w:kern w:val="0"/>
                <w:sz w:val="18"/>
                <w:szCs w:val="18"/>
              </w:rPr>
              <w:t>（一）简要概述部门职能与职责。</w:t>
            </w:r>
          </w:p>
        </w:tc>
        <w:tc>
          <w:tcPr>
            <w:tcW w:w="9344" w:type="dxa"/>
            <w:gridSpan w:val="10"/>
            <w:tcBorders>
              <w:top w:val="single" w:color="000000" w:sz="4" w:space="0"/>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lang w:val="en-US" w:eastAsia="zh-CN"/>
              </w:rPr>
              <w:t>依法对县级部门进行审计监督，</w:t>
            </w:r>
            <w:r>
              <w:rPr>
                <w:rFonts w:hint="eastAsia" w:ascii="仿宋" w:hAnsi="仿宋" w:eastAsia="仿宋" w:cs="仿宋"/>
                <w:color w:val="333333"/>
                <w:kern w:val="0"/>
                <w:sz w:val="18"/>
                <w:szCs w:val="18"/>
              </w:rPr>
              <w:t>贯彻执行国家审计方针政策，协调监督指导有关单位的审计业务。向县政府报告和向县政府有关部门通报审计的情况，提出制定和完善政策措施的建议;向市审计局提出审计结果报告。</w:t>
            </w:r>
          </w:p>
          <w:p>
            <w:pPr>
              <w:spacing w:line="560" w:lineRule="exact"/>
              <w:rPr>
                <w:rFonts w:hint="eastAsia" w:ascii="仿宋" w:hAnsi="仿宋" w:eastAsia="仿宋" w:cs="仿宋"/>
                <w:color w:val="000000"/>
                <w:sz w:val="18"/>
                <w:szCs w:val="18"/>
              </w:rPr>
            </w:pPr>
          </w:p>
        </w:tc>
      </w:tr>
      <w:tr>
        <w:tblPrEx>
          <w:tblCellMar>
            <w:top w:w="0" w:type="dxa"/>
            <w:left w:w="0" w:type="dxa"/>
            <w:bottom w:w="0" w:type="dxa"/>
            <w:right w:w="0" w:type="dxa"/>
          </w:tblCellMar>
        </w:tblPrEx>
        <w:trPr>
          <w:trHeight w:val="465" w:hRule="atLeast"/>
        </w:trPr>
        <w:tc>
          <w:tcPr>
            <w:tcW w:w="4433" w:type="dxa"/>
            <w:gridSpan w:val="5"/>
            <w:tcBorders>
              <w:top w:val="single" w:color="000000" w:sz="4" w:space="0"/>
              <w:left w:val="single" w:color="000000" w:sz="4" w:space="0"/>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（二）简要概述部门支出情况，按活动内容分类。</w:t>
            </w:r>
          </w:p>
        </w:tc>
        <w:tc>
          <w:tcPr>
            <w:tcW w:w="9344" w:type="dxa"/>
            <w:gridSpan w:val="10"/>
            <w:tcBorders>
              <w:top w:val="single" w:color="000000" w:sz="4" w:space="0"/>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2019年本部门支出</w:t>
            </w:r>
            <w:r>
              <w:rPr>
                <w:rFonts w:hint="eastAsia" w:ascii="仿宋" w:hAnsi="仿宋" w:eastAsia="仿宋" w:cs="仿宋"/>
                <w:color w:val="333333"/>
                <w:kern w:val="0"/>
                <w:sz w:val="18"/>
                <w:szCs w:val="18"/>
                <w:lang w:val="en-US" w:eastAsia="zh-CN"/>
              </w:rPr>
              <w:t>255.05</w:t>
            </w:r>
            <w:r>
              <w:rPr>
                <w:rFonts w:hint="eastAsia" w:ascii="仿宋" w:hAnsi="仿宋" w:eastAsia="仿宋" w:cs="仿宋"/>
                <w:color w:val="333333"/>
                <w:kern w:val="0"/>
                <w:sz w:val="18"/>
                <w:szCs w:val="18"/>
              </w:rPr>
              <w:t>万元。其中人员经费</w:t>
            </w:r>
            <w:r>
              <w:rPr>
                <w:rFonts w:hint="eastAsia" w:ascii="仿宋" w:hAnsi="仿宋" w:eastAsia="仿宋" w:cs="仿宋"/>
                <w:color w:val="333333"/>
                <w:kern w:val="0"/>
                <w:sz w:val="18"/>
                <w:szCs w:val="18"/>
                <w:lang w:val="en-US" w:eastAsia="zh-CN"/>
              </w:rPr>
              <w:t>230.16</w:t>
            </w:r>
            <w:r>
              <w:rPr>
                <w:rFonts w:hint="eastAsia" w:ascii="仿宋" w:hAnsi="仿宋" w:eastAsia="仿宋" w:cs="仿宋"/>
                <w:color w:val="333333"/>
                <w:kern w:val="0"/>
                <w:sz w:val="18"/>
                <w:szCs w:val="18"/>
              </w:rPr>
              <w:t>万元，公用经费24.</w:t>
            </w:r>
            <w:r>
              <w:rPr>
                <w:rFonts w:hint="eastAsia" w:ascii="仿宋" w:hAnsi="仿宋" w:eastAsia="仿宋" w:cs="仿宋"/>
                <w:color w:val="333333"/>
                <w:kern w:val="0"/>
                <w:sz w:val="18"/>
                <w:szCs w:val="18"/>
                <w:lang w:val="en-US" w:eastAsia="zh-CN"/>
              </w:rPr>
              <w:t>89</w:t>
            </w:r>
            <w:r>
              <w:rPr>
                <w:rFonts w:hint="eastAsia" w:ascii="仿宋" w:hAnsi="仿宋" w:eastAsia="仿宋" w:cs="仿宋"/>
                <w:color w:val="333333"/>
                <w:kern w:val="0"/>
                <w:sz w:val="18"/>
                <w:szCs w:val="18"/>
              </w:rPr>
              <w:t>万元</w:t>
            </w:r>
          </w:p>
        </w:tc>
      </w:tr>
      <w:tr>
        <w:tblPrEx>
          <w:tblCellMar>
            <w:top w:w="0" w:type="dxa"/>
            <w:left w:w="0" w:type="dxa"/>
            <w:bottom w:w="0" w:type="dxa"/>
            <w:right w:w="0" w:type="dxa"/>
          </w:tblCellMar>
        </w:tblPrEx>
        <w:trPr>
          <w:trHeight w:val="465" w:hRule="atLeast"/>
        </w:trPr>
        <w:tc>
          <w:tcPr>
            <w:tcW w:w="4433" w:type="dxa"/>
            <w:gridSpan w:val="5"/>
            <w:tcBorders>
              <w:top w:val="single" w:color="000000" w:sz="4" w:space="0"/>
              <w:left w:val="single" w:color="000000" w:sz="4" w:space="0"/>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（三）简要概述当年县委县政府下达的重点工作 。</w:t>
            </w:r>
          </w:p>
        </w:tc>
        <w:tc>
          <w:tcPr>
            <w:tcW w:w="9344" w:type="dxa"/>
            <w:gridSpan w:val="10"/>
            <w:tcBorders>
              <w:top w:val="single" w:color="000000" w:sz="4" w:space="0"/>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围绕服务全县“稳增长”、加强预警研判，做深统计分析；</w:t>
            </w:r>
          </w:p>
        </w:tc>
      </w:tr>
      <w:tr>
        <w:tblPrEx>
          <w:tblCellMar>
            <w:top w:w="0" w:type="dxa"/>
            <w:left w:w="0" w:type="dxa"/>
            <w:bottom w:w="0" w:type="dxa"/>
            <w:right w:w="0" w:type="dxa"/>
          </w:tblCellMar>
        </w:tblPrEx>
        <w:trPr>
          <w:trHeight w:val="1359" w:hRule="atLeast"/>
        </w:trPr>
        <w:tc>
          <w:tcPr>
            <w:tcW w:w="695" w:type="dxa"/>
            <w:tcBorders>
              <w:top w:val="nil"/>
              <w:left w:val="single" w:color="000000" w:sz="4" w:space="0"/>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一级指标</w:t>
            </w:r>
          </w:p>
        </w:tc>
        <w:tc>
          <w:tcPr>
            <w:tcW w:w="503" w:type="dxa"/>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二级指标</w:t>
            </w:r>
          </w:p>
        </w:tc>
        <w:tc>
          <w:tcPr>
            <w:tcW w:w="611" w:type="dxa"/>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三级指标</w:t>
            </w:r>
          </w:p>
        </w:tc>
        <w:tc>
          <w:tcPr>
            <w:tcW w:w="380" w:type="dxa"/>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分值</w:t>
            </w:r>
          </w:p>
        </w:tc>
        <w:tc>
          <w:tcPr>
            <w:tcW w:w="2244" w:type="dxa"/>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指标说明</w:t>
            </w:r>
          </w:p>
        </w:tc>
        <w:tc>
          <w:tcPr>
            <w:tcW w:w="4453" w:type="dxa"/>
            <w:gridSpan w:val="3"/>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评分标准</w:t>
            </w:r>
          </w:p>
        </w:tc>
        <w:tc>
          <w:tcPr>
            <w:tcW w:w="1000" w:type="dxa"/>
            <w:tcBorders>
              <w:top w:val="nil"/>
              <w:left w:val="nil"/>
              <w:bottom w:val="single" w:color="000000" w:sz="4" w:space="0"/>
              <w:right w:val="single" w:color="000000"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指标值计算公式和数据获取方式</w:t>
            </w:r>
          </w:p>
        </w:tc>
        <w:tc>
          <w:tcPr>
            <w:tcW w:w="661" w:type="dxa"/>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年初目标值</w:t>
            </w:r>
          </w:p>
        </w:tc>
        <w:tc>
          <w:tcPr>
            <w:tcW w:w="661" w:type="dxa"/>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实际完成值</w:t>
            </w:r>
          </w:p>
        </w:tc>
        <w:tc>
          <w:tcPr>
            <w:tcW w:w="580" w:type="dxa"/>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得分</w:t>
            </w:r>
          </w:p>
        </w:tc>
        <w:tc>
          <w:tcPr>
            <w:tcW w:w="1267" w:type="dxa"/>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未完成原因分析与改进措施</w:t>
            </w:r>
          </w:p>
        </w:tc>
        <w:tc>
          <w:tcPr>
            <w:tcW w:w="722" w:type="dxa"/>
            <w:gridSpan w:val="2"/>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绩效指标分析与建议</w:t>
            </w:r>
          </w:p>
        </w:tc>
      </w:tr>
      <w:tr>
        <w:tblPrEx>
          <w:tblCellMar>
            <w:top w:w="0" w:type="dxa"/>
            <w:left w:w="0" w:type="dxa"/>
            <w:bottom w:w="0" w:type="dxa"/>
            <w:right w:w="0" w:type="dxa"/>
          </w:tblCellMar>
        </w:tblPrEx>
        <w:trPr>
          <w:trHeight w:val="2500" w:hRule="atLeast"/>
        </w:trPr>
        <w:tc>
          <w:tcPr>
            <w:tcW w:w="695" w:type="dxa"/>
            <w:vMerge w:val="restart"/>
            <w:tcBorders>
              <w:top w:val="nil"/>
              <w:left w:val="single" w:color="000000" w:sz="4" w:space="0"/>
              <w:bottom w:val="nil"/>
              <w:right w:val="single" w:color="000000" w:sz="4" w:space="0"/>
            </w:tcBorders>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投入</w:t>
            </w:r>
          </w:p>
        </w:tc>
        <w:tc>
          <w:tcPr>
            <w:tcW w:w="503" w:type="dxa"/>
            <w:vMerge w:val="restart"/>
            <w:tcBorders>
              <w:top w:val="nil"/>
              <w:left w:val="single" w:color="000000" w:sz="4" w:space="0"/>
              <w:bottom w:val="nil"/>
              <w:right w:val="single" w:color="000000" w:sz="4" w:space="0"/>
            </w:tcBorders>
            <w:tcMar>
              <w:bottom w:w="0"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预算执行（25分）</w:t>
            </w:r>
          </w:p>
        </w:tc>
        <w:tc>
          <w:tcPr>
            <w:tcW w:w="611" w:type="dxa"/>
            <w:tcBorders>
              <w:top w:val="nil"/>
              <w:left w:val="nil"/>
              <w:bottom w:val="single" w:color="000000" w:sz="4" w:space="0"/>
              <w:right w:val="single" w:color="000000" w:sz="4" w:space="0"/>
            </w:tcBorders>
            <w:tcMar>
              <w:top w:w="14" w:type="dxa"/>
              <w:left w:w="125"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预算完成率</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（10分）</w:t>
            </w:r>
          </w:p>
        </w:tc>
        <w:tc>
          <w:tcPr>
            <w:tcW w:w="380" w:type="dxa"/>
            <w:tcBorders>
              <w:top w:val="nil"/>
              <w:left w:val="nil"/>
              <w:bottom w:val="single" w:color="000000" w:sz="4" w:space="0"/>
              <w:right w:val="single" w:color="000000"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10</w:t>
            </w:r>
          </w:p>
        </w:tc>
        <w:tc>
          <w:tcPr>
            <w:tcW w:w="2244" w:type="dxa"/>
            <w:tcBorders>
              <w:top w:val="nil"/>
              <w:left w:val="nil"/>
              <w:bottom w:val="single" w:color="000000" w:sz="4" w:space="0"/>
              <w:right w:val="single" w:color="000000" w:sz="4" w:space="0"/>
            </w:tcBorders>
            <w:tcMar>
              <w:top w:w="14" w:type="dxa"/>
              <w:bottom w:w="0" w:type="dxa"/>
              <w:right w:w="14" w:type="dxa"/>
            </w:tcMar>
            <w:vAlign w:val="top"/>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预算完成率=（预算完成数/预算数）</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×100，用以反映和考核部门（单位）预算完成程度。</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预算完成数：部门（单位）本年度实际完成的预算数。</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预算数：财政部门批复的本年度部门</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（单位）预算数。</w:t>
            </w:r>
          </w:p>
        </w:tc>
        <w:tc>
          <w:tcPr>
            <w:tcW w:w="4453" w:type="dxa"/>
            <w:gridSpan w:val="3"/>
            <w:tcBorders>
              <w:top w:val="nil"/>
              <w:left w:val="nil"/>
              <w:bottom w:val="single" w:color="000000" w:sz="4" w:space="0"/>
              <w:right w:val="single" w:color="000000" w:sz="4" w:space="0"/>
            </w:tcBorders>
            <w:tcMar>
              <w:top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预算完成率＝100的，得10分。预算完成率≥95的，得9分。 预算完成率在90（含）和95之间，得8分。</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预算完成率在85（含）和90之间，得7分。</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预算完成率在80（含）和85之间，得6分。</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预算完成率在70（含）和80之间，得4分。</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预算完成率＜70的，得0分。</w:t>
            </w:r>
          </w:p>
        </w:tc>
        <w:tc>
          <w:tcPr>
            <w:tcW w:w="1000" w:type="dxa"/>
            <w:tcBorders>
              <w:top w:val="nil"/>
              <w:left w:val="nil"/>
              <w:bottom w:val="single" w:color="000000" w:sz="4" w:space="0"/>
              <w:right w:val="single" w:color="000000" w:sz="4" w:space="0"/>
            </w:tcBorders>
            <w:tcMar>
              <w:top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lang w:val="en-US" w:eastAsia="zh-CN"/>
              </w:rPr>
            </w:pPr>
            <w:r>
              <w:rPr>
                <w:rFonts w:hint="eastAsia" w:ascii="仿宋" w:hAnsi="仿宋" w:eastAsia="仿宋" w:cs="仿宋"/>
                <w:color w:val="333333"/>
                <w:kern w:val="0"/>
                <w:sz w:val="18"/>
                <w:szCs w:val="18"/>
              </w:rPr>
              <w:t>　</w:t>
            </w:r>
            <w:r>
              <w:rPr>
                <w:rFonts w:hint="eastAsia" w:ascii="仿宋" w:hAnsi="仿宋" w:eastAsia="仿宋" w:cs="仿宋"/>
                <w:color w:val="333333"/>
                <w:kern w:val="0"/>
                <w:sz w:val="18"/>
                <w:szCs w:val="18"/>
                <w:lang w:val="en-US" w:eastAsia="zh-CN"/>
              </w:rPr>
              <w:t>229.99</w:t>
            </w:r>
            <w:r>
              <w:rPr>
                <w:rFonts w:hint="eastAsia" w:ascii="仿宋" w:hAnsi="仿宋" w:eastAsia="仿宋" w:cs="仿宋"/>
                <w:color w:val="333333"/>
                <w:kern w:val="0"/>
                <w:sz w:val="18"/>
                <w:szCs w:val="18"/>
              </w:rPr>
              <w:t>/</w:t>
            </w:r>
            <w:r>
              <w:rPr>
                <w:rFonts w:hint="eastAsia" w:ascii="仿宋" w:hAnsi="仿宋" w:eastAsia="仿宋" w:cs="仿宋"/>
                <w:color w:val="333333"/>
                <w:kern w:val="0"/>
                <w:sz w:val="18"/>
                <w:szCs w:val="18"/>
                <w:lang w:val="en-US" w:eastAsia="zh-CN"/>
              </w:rPr>
              <w:t>250.95</w:t>
            </w:r>
          </w:p>
        </w:tc>
        <w:tc>
          <w:tcPr>
            <w:tcW w:w="661" w:type="dxa"/>
            <w:tcBorders>
              <w:top w:val="nil"/>
              <w:left w:val="nil"/>
              <w:bottom w:val="single" w:color="000000" w:sz="4" w:space="0"/>
              <w:right w:val="single" w:color="000000" w:sz="4" w:space="0"/>
            </w:tcBorders>
            <w:tcMar>
              <w:top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10</w:t>
            </w:r>
            <w:r>
              <w:rPr>
                <w:rFonts w:hint="eastAsia" w:ascii="仿宋" w:hAnsi="仿宋" w:eastAsia="仿宋" w:cs="仿宋"/>
                <w:color w:val="333333"/>
                <w:kern w:val="0"/>
                <w:sz w:val="18"/>
                <w:szCs w:val="18"/>
                <w:lang w:val="en-US" w:eastAsia="zh-CN"/>
              </w:rPr>
              <w:t>0</w:t>
            </w:r>
            <w:r>
              <w:rPr>
                <w:rFonts w:hint="eastAsia" w:ascii="仿宋" w:hAnsi="仿宋" w:eastAsia="仿宋" w:cs="仿宋"/>
                <w:color w:val="333333"/>
                <w:kern w:val="0"/>
                <w:sz w:val="18"/>
                <w:szCs w:val="18"/>
              </w:rPr>
              <w:t>%</w:t>
            </w:r>
          </w:p>
        </w:tc>
        <w:tc>
          <w:tcPr>
            <w:tcW w:w="661" w:type="dxa"/>
            <w:tcBorders>
              <w:top w:val="nil"/>
              <w:left w:val="nil"/>
              <w:bottom w:val="single" w:color="000000" w:sz="4" w:space="0"/>
              <w:right w:val="single" w:color="000000" w:sz="4" w:space="0"/>
            </w:tcBorders>
            <w:tcMar>
              <w:top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10</w:t>
            </w:r>
            <w:r>
              <w:rPr>
                <w:rFonts w:hint="eastAsia" w:ascii="仿宋" w:hAnsi="仿宋" w:eastAsia="仿宋" w:cs="仿宋"/>
                <w:color w:val="333333"/>
                <w:kern w:val="0"/>
                <w:sz w:val="18"/>
                <w:szCs w:val="18"/>
                <w:lang w:val="en-US" w:eastAsia="zh-CN"/>
              </w:rPr>
              <w:t>8</w:t>
            </w:r>
            <w:r>
              <w:rPr>
                <w:rFonts w:hint="eastAsia" w:ascii="仿宋" w:hAnsi="仿宋" w:eastAsia="仿宋" w:cs="仿宋"/>
                <w:color w:val="333333"/>
                <w:kern w:val="0"/>
                <w:sz w:val="18"/>
                <w:szCs w:val="18"/>
              </w:rPr>
              <w:t>%</w:t>
            </w:r>
          </w:p>
        </w:tc>
        <w:tc>
          <w:tcPr>
            <w:tcW w:w="580" w:type="dxa"/>
            <w:tcBorders>
              <w:top w:val="nil"/>
              <w:left w:val="nil"/>
              <w:bottom w:val="single" w:color="000000" w:sz="4" w:space="0"/>
              <w:right w:val="single" w:color="000000" w:sz="4" w:space="0"/>
            </w:tcBorders>
            <w:tcMar>
              <w:top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10</w:t>
            </w:r>
          </w:p>
        </w:tc>
        <w:tc>
          <w:tcPr>
            <w:tcW w:w="1267" w:type="dxa"/>
            <w:tcBorders>
              <w:top w:val="nil"/>
              <w:left w:val="nil"/>
              <w:bottom w:val="single" w:color="000000" w:sz="4" w:space="0"/>
              <w:right w:val="single" w:color="000000" w:sz="4" w:space="0"/>
            </w:tcBorders>
            <w:tcMar>
              <w:top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c>
          <w:tcPr>
            <w:tcW w:w="722" w:type="dxa"/>
            <w:gridSpan w:val="2"/>
            <w:tcBorders>
              <w:top w:val="nil"/>
              <w:left w:val="nil"/>
              <w:bottom w:val="single" w:color="000000" w:sz="4" w:space="0"/>
              <w:right w:val="single" w:color="000000" w:sz="4" w:space="0"/>
            </w:tcBorders>
            <w:tcMar>
              <w:top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r>
      <w:tr>
        <w:tblPrEx>
          <w:tblCellMar>
            <w:top w:w="0" w:type="dxa"/>
            <w:left w:w="0" w:type="dxa"/>
            <w:bottom w:w="0" w:type="dxa"/>
            <w:right w:w="0" w:type="dxa"/>
          </w:tblCellMar>
        </w:tblPrEx>
        <w:trPr>
          <w:trHeight w:val="61" w:hRule="atLeast"/>
        </w:trPr>
        <w:tc>
          <w:tcPr>
            <w:tcW w:w="695" w:type="dxa"/>
            <w:vMerge w:val="continue"/>
            <w:tcBorders>
              <w:top w:val="nil"/>
              <w:left w:val="single" w:color="000000" w:sz="4" w:space="0"/>
              <w:bottom w:val="nil"/>
              <w:right w:val="single" w:color="000000" w:sz="4" w:space="0"/>
            </w:tcBorders>
            <w:vAlign w:val="center"/>
          </w:tcPr>
          <w:p>
            <w:pPr>
              <w:spacing w:line="560" w:lineRule="exact"/>
              <w:rPr>
                <w:rFonts w:hint="eastAsia" w:ascii="仿宋" w:hAnsi="仿宋" w:eastAsia="仿宋" w:cs="仿宋"/>
                <w:sz w:val="18"/>
                <w:szCs w:val="18"/>
              </w:rPr>
            </w:pPr>
          </w:p>
        </w:tc>
        <w:tc>
          <w:tcPr>
            <w:tcW w:w="503" w:type="dxa"/>
            <w:vMerge w:val="continue"/>
            <w:tcBorders>
              <w:top w:val="nil"/>
              <w:left w:val="single" w:color="000000" w:sz="4" w:space="0"/>
              <w:bottom w:val="nil"/>
              <w:right w:val="single" w:color="000000" w:sz="4" w:space="0"/>
            </w:tcBorders>
            <w:vAlign w:val="center"/>
          </w:tcPr>
          <w:p>
            <w:pPr>
              <w:spacing w:line="560" w:lineRule="exact"/>
              <w:rPr>
                <w:rFonts w:hint="eastAsia" w:ascii="仿宋" w:hAnsi="仿宋" w:eastAsia="仿宋" w:cs="仿宋"/>
                <w:sz w:val="18"/>
                <w:szCs w:val="18"/>
              </w:rPr>
            </w:pPr>
          </w:p>
        </w:tc>
        <w:tc>
          <w:tcPr>
            <w:tcW w:w="611" w:type="dxa"/>
            <w:tcBorders>
              <w:top w:val="nil"/>
              <w:left w:val="nil"/>
              <w:bottom w:val="nil"/>
              <w:right w:val="single" w:color="000000" w:sz="4" w:space="0"/>
            </w:tcBorders>
            <w:tcMar>
              <w:top w:w="14" w:type="dxa"/>
              <w:left w:w="14" w:type="dxa"/>
              <w:bottom w:w="0" w:type="dxa"/>
              <w:right w:w="14" w:type="dxa"/>
            </w:tcMar>
            <w:vAlign w:val="center"/>
          </w:tcPr>
          <w:p>
            <w:pPr>
              <w:spacing w:line="560" w:lineRule="exact"/>
              <w:rPr>
                <w:rFonts w:hint="eastAsia" w:ascii="仿宋" w:hAnsi="仿宋" w:eastAsia="仿宋" w:cs="仿宋"/>
                <w:color w:val="000000"/>
                <w:sz w:val="18"/>
                <w:szCs w:val="18"/>
              </w:rPr>
            </w:pPr>
            <w:r>
              <w:rPr>
                <w:rFonts w:hint="eastAsia" w:ascii="仿宋" w:hAnsi="仿宋" w:eastAsia="仿宋" w:cs="仿宋"/>
                <w:sz w:val="18"/>
                <w:szCs w:val="18"/>
              </w:rPr>
              <w:t>预算调整率</w:t>
            </w:r>
            <w:r>
              <w:rPr>
                <w:rFonts w:hint="eastAsia" w:ascii="仿宋" w:hAnsi="仿宋" w:eastAsia="仿宋" w:cs="仿宋"/>
                <w:sz w:val="18"/>
                <w:szCs w:val="18"/>
              </w:rPr>
              <w:br w:type="textWrapping"/>
            </w:r>
            <w:r>
              <w:rPr>
                <w:rFonts w:hint="eastAsia" w:ascii="仿宋" w:hAnsi="仿宋" w:eastAsia="仿宋" w:cs="仿宋"/>
                <w:sz w:val="18"/>
                <w:szCs w:val="18"/>
              </w:rPr>
              <w:t>（5分）</w:t>
            </w:r>
          </w:p>
        </w:tc>
        <w:tc>
          <w:tcPr>
            <w:tcW w:w="380" w:type="dxa"/>
            <w:tcBorders>
              <w:top w:val="nil"/>
              <w:left w:val="nil"/>
              <w:bottom w:val="nil"/>
              <w:right w:val="single" w:color="000000" w:sz="4" w:space="0"/>
            </w:tcBorders>
            <w:tcMar>
              <w:top w:w="14" w:type="dxa"/>
              <w:left w:w="14" w:type="dxa"/>
              <w:bottom w:w="0" w:type="dxa"/>
              <w:right w:w="14" w:type="dxa"/>
            </w:tcMar>
            <w:vAlign w:val="center"/>
          </w:tcPr>
          <w:p>
            <w:pPr>
              <w:spacing w:line="560" w:lineRule="exact"/>
              <w:jc w:val="right"/>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2244" w:type="dxa"/>
            <w:tcBorders>
              <w:top w:val="nil"/>
              <w:left w:val="nil"/>
              <w:bottom w:val="nil"/>
              <w:right w:val="single" w:color="000000"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预算调整率=（预算调整数/预算数）×100，用以反映和考核部门（单位）预算的调整程度。预算调整数：部门（单位）在本年度内涉及预算的追加、追减或结构调整的资金总和（因落实国家政策、发生不可抗力、上级部门或本级党委政府临时交办而产生的调整除外）。预算包括一般公共预算与政府性基金预算。</w:t>
            </w:r>
          </w:p>
        </w:tc>
        <w:tc>
          <w:tcPr>
            <w:tcW w:w="4453" w:type="dxa"/>
            <w:gridSpan w:val="3"/>
            <w:tcBorders>
              <w:top w:val="nil"/>
              <w:left w:val="nil"/>
              <w:bottom w:val="nil"/>
              <w:right w:val="single" w:color="000000"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预算调整率绝对值≤5，得5分</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w:t>
            </w:r>
            <w:r>
              <w:rPr>
                <w:rFonts w:hint="eastAsia" w:ascii="仿宋" w:hAnsi="仿宋" w:eastAsia="仿宋" w:cs="仿宋"/>
                <w:color w:val="333333"/>
                <w:kern w:val="0"/>
                <w:sz w:val="18"/>
                <w:szCs w:val="18"/>
              </w:rPr>
              <w:br w:type="textWrapping"/>
            </w:r>
            <w:r>
              <w:rPr>
                <w:rFonts w:hint="eastAsia" w:ascii="仿宋" w:hAnsi="仿宋" w:eastAsia="仿宋" w:cs="仿宋"/>
                <w:color w:val="333333"/>
                <w:kern w:val="0"/>
                <w:sz w:val="18"/>
                <w:szCs w:val="18"/>
              </w:rPr>
              <w:t>预算调整率绝对值＞5的，每增加0.1个百分点扣0.1分，扣完为止。</w:t>
            </w:r>
          </w:p>
        </w:tc>
        <w:tc>
          <w:tcPr>
            <w:tcW w:w="1000" w:type="dxa"/>
            <w:tcBorders>
              <w:top w:val="nil"/>
              <w:left w:val="nil"/>
              <w:bottom w:val="nil"/>
              <w:right w:val="single" w:color="000000" w:sz="4" w:space="0"/>
            </w:tcBorders>
            <w:tcMar>
              <w:top w:w="14" w:type="dxa"/>
              <w:left w:w="14" w:type="dxa"/>
              <w:bottom w:w="0" w:type="dxa"/>
              <w:right w:w="14" w:type="dxa"/>
            </w:tcMar>
          </w:tcPr>
          <w:p>
            <w:pPr>
              <w:widowControl/>
              <w:spacing w:line="495" w:lineRule="atLeast"/>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lang w:val="en-US" w:eastAsia="zh-CN"/>
              </w:rPr>
              <w:t>229.99</w:t>
            </w:r>
            <w:r>
              <w:rPr>
                <w:rFonts w:hint="eastAsia" w:ascii="仿宋" w:hAnsi="仿宋" w:eastAsia="仿宋" w:cs="仿宋"/>
                <w:color w:val="333333"/>
                <w:kern w:val="0"/>
                <w:sz w:val="18"/>
                <w:szCs w:val="18"/>
              </w:rPr>
              <w:t>/</w:t>
            </w:r>
            <w:r>
              <w:rPr>
                <w:rFonts w:hint="eastAsia" w:ascii="仿宋" w:hAnsi="仿宋" w:eastAsia="仿宋" w:cs="仿宋"/>
                <w:color w:val="333333"/>
                <w:kern w:val="0"/>
                <w:sz w:val="18"/>
                <w:szCs w:val="18"/>
                <w:lang w:val="en-US" w:eastAsia="zh-CN"/>
              </w:rPr>
              <w:t>250.95</w:t>
            </w:r>
          </w:p>
        </w:tc>
        <w:tc>
          <w:tcPr>
            <w:tcW w:w="661" w:type="dxa"/>
            <w:tcBorders>
              <w:top w:val="nil"/>
              <w:left w:val="nil"/>
              <w:bottom w:val="nil"/>
              <w:right w:val="single" w:color="000000" w:sz="4" w:space="0"/>
            </w:tcBorders>
            <w:tcMar>
              <w:top w:w="14" w:type="dxa"/>
              <w:left w:w="14" w:type="dxa"/>
              <w:bottom w:w="0" w:type="dxa"/>
              <w:right w:w="14" w:type="dxa"/>
            </w:tcMar>
          </w:tcPr>
          <w:p>
            <w:pPr>
              <w:widowControl/>
              <w:spacing w:line="495" w:lineRule="atLeast"/>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10</w:t>
            </w:r>
            <w:r>
              <w:rPr>
                <w:rFonts w:hint="eastAsia" w:ascii="仿宋" w:hAnsi="仿宋" w:eastAsia="仿宋" w:cs="仿宋"/>
                <w:color w:val="333333"/>
                <w:kern w:val="0"/>
                <w:sz w:val="18"/>
                <w:szCs w:val="18"/>
                <w:lang w:val="en-US" w:eastAsia="zh-CN"/>
              </w:rPr>
              <w:t>0</w:t>
            </w:r>
            <w:r>
              <w:rPr>
                <w:rFonts w:hint="eastAsia" w:ascii="仿宋" w:hAnsi="仿宋" w:eastAsia="仿宋" w:cs="仿宋"/>
                <w:color w:val="333333"/>
                <w:kern w:val="0"/>
                <w:sz w:val="18"/>
                <w:szCs w:val="18"/>
              </w:rPr>
              <w:t>%</w:t>
            </w:r>
          </w:p>
        </w:tc>
        <w:tc>
          <w:tcPr>
            <w:tcW w:w="661" w:type="dxa"/>
            <w:tcBorders>
              <w:top w:val="nil"/>
              <w:left w:val="nil"/>
              <w:bottom w:val="nil"/>
              <w:right w:val="single" w:color="000000" w:sz="4" w:space="0"/>
            </w:tcBorders>
            <w:tcMar>
              <w:top w:w="14" w:type="dxa"/>
              <w:left w:w="14" w:type="dxa"/>
              <w:bottom w:w="0" w:type="dxa"/>
              <w:right w:w="14" w:type="dxa"/>
            </w:tcMar>
          </w:tcPr>
          <w:p>
            <w:pPr>
              <w:widowControl/>
              <w:spacing w:line="495" w:lineRule="atLeast"/>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10</w:t>
            </w:r>
            <w:r>
              <w:rPr>
                <w:rFonts w:hint="eastAsia" w:ascii="仿宋" w:hAnsi="仿宋" w:eastAsia="仿宋" w:cs="仿宋"/>
                <w:color w:val="333333"/>
                <w:kern w:val="0"/>
                <w:sz w:val="18"/>
                <w:szCs w:val="18"/>
                <w:lang w:val="en-US" w:eastAsia="zh-CN"/>
              </w:rPr>
              <w:t>8</w:t>
            </w:r>
            <w:r>
              <w:rPr>
                <w:rFonts w:hint="eastAsia" w:ascii="仿宋" w:hAnsi="仿宋" w:eastAsia="仿宋" w:cs="仿宋"/>
                <w:color w:val="333333"/>
                <w:kern w:val="0"/>
                <w:sz w:val="18"/>
                <w:szCs w:val="18"/>
              </w:rPr>
              <w:t>%</w:t>
            </w:r>
          </w:p>
        </w:tc>
        <w:tc>
          <w:tcPr>
            <w:tcW w:w="580" w:type="dxa"/>
            <w:tcBorders>
              <w:top w:val="nil"/>
              <w:left w:val="nil"/>
              <w:bottom w:val="nil"/>
              <w:right w:val="single" w:color="000000"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5</w:t>
            </w:r>
          </w:p>
        </w:tc>
        <w:tc>
          <w:tcPr>
            <w:tcW w:w="1267" w:type="dxa"/>
            <w:tcBorders>
              <w:top w:val="nil"/>
              <w:left w:val="nil"/>
              <w:bottom w:val="nil"/>
              <w:right w:val="single" w:color="000000"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c>
          <w:tcPr>
            <w:tcW w:w="722" w:type="dxa"/>
            <w:gridSpan w:val="2"/>
            <w:tcBorders>
              <w:top w:val="nil"/>
              <w:left w:val="nil"/>
              <w:bottom w:val="nil"/>
              <w:right w:val="single" w:color="000000"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r>
      <w:tr>
        <w:tblPrEx>
          <w:tblCellMar>
            <w:top w:w="0" w:type="dxa"/>
            <w:left w:w="0" w:type="dxa"/>
            <w:bottom w:w="0" w:type="dxa"/>
            <w:right w:w="0" w:type="dxa"/>
          </w:tblCellMar>
        </w:tblPrEx>
        <w:trPr>
          <w:trHeight w:val="2010" w:hRule="atLeast"/>
        </w:trPr>
        <w:tc>
          <w:tcPr>
            <w:tcW w:w="69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过 程</w:t>
            </w:r>
          </w:p>
        </w:tc>
        <w:tc>
          <w:tcPr>
            <w:tcW w:w="503"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预算管 理（15 分）</w:t>
            </w:r>
          </w:p>
        </w:tc>
        <w:tc>
          <w:tcPr>
            <w:tcW w:w="611" w:type="dxa"/>
            <w:tcBorders>
              <w:top w:val="single" w:color="auto" w:sz="4" w:space="0"/>
              <w:left w:val="nil"/>
              <w:bottom w:val="single" w:color="auto" w:sz="4" w:space="0"/>
              <w:right w:val="single" w:color="auto" w:sz="4" w:space="0"/>
            </w:tcBorders>
            <w:tcMar>
              <w:top w:w="14" w:type="dxa"/>
              <w:left w:w="14" w:type="dxa"/>
              <w:bottom w:w="0" w:type="dxa"/>
              <w:right w:w="14" w:type="dxa"/>
            </w:tcMar>
            <w:vAlign w:val="bottom"/>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金用规 5 ) f-使合性{分</w:t>
            </w:r>
          </w:p>
        </w:tc>
        <w:tc>
          <w:tcPr>
            <w:tcW w:w="380"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5</w:t>
            </w:r>
          </w:p>
        </w:tc>
        <w:tc>
          <w:tcPr>
            <w:tcW w:w="2244" w:type="dxa"/>
            <w:tcBorders>
              <w:top w:val="single" w:color="auto" w:sz="4" w:space="0"/>
              <w:left w:val="nil"/>
              <w:bottom w:val="single" w:color="auto" w:sz="4" w:space="0"/>
              <w:right w:val="single" w:color="auto" w:sz="4" w:space="0"/>
            </w:tcBorders>
            <w:tcMar>
              <w:top w:w="14" w:type="dxa"/>
              <w:left w:w="14" w:type="dxa"/>
              <w:bottom w:w="0" w:type="dxa"/>
              <w:right w:w="14" w:type="dxa"/>
            </w:tcMar>
            <w:vAlign w:val="bottom"/>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部门（单位）使用预算资金是否符合相 关的预算财务管理制度的规定，用以反 映和考核部门（单位）预算资金的规范 运行情况。 1. 符合国家财经法规和财务管理制度规 定以及有关专项资金管理办法的规定； 2. 资金的拨付有完整的审批程序和手 续； 3. 重大项目开支经过评估论证； 4. 符合部门预算批复的用途； 5. 不存在截留、挤占、挪用、虚列支出 等情况。</w:t>
            </w:r>
          </w:p>
        </w:tc>
        <w:tc>
          <w:tcPr>
            <w:tcW w:w="4453" w:type="dxa"/>
            <w:gridSpan w:val="3"/>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全部符合5分，有1项不符扣2分。</w:t>
            </w:r>
          </w:p>
        </w:tc>
        <w:tc>
          <w:tcPr>
            <w:tcW w:w="1000" w:type="dxa"/>
            <w:tcBorders>
              <w:top w:val="single" w:color="auto" w:sz="4" w:space="0"/>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lang w:eastAsia="zh-CN"/>
              </w:rPr>
              <w:t>符合</w:t>
            </w:r>
            <w:r>
              <w:rPr>
                <w:rFonts w:hint="eastAsia" w:ascii="仿宋" w:hAnsi="仿宋" w:eastAsia="仿宋" w:cs="仿宋"/>
                <w:color w:val="333333"/>
                <w:kern w:val="0"/>
                <w:sz w:val="18"/>
                <w:szCs w:val="18"/>
              </w:rPr>
              <w:t>　</w:t>
            </w:r>
          </w:p>
        </w:tc>
        <w:tc>
          <w:tcPr>
            <w:tcW w:w="661" w:type="dxa"/>
            <w:tcBorders>
              <w:top w:val="single" w:color="auto" w:sz="4" w:space="0"/>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100%</w:t>
            </w:r>
          </w:p>
        </w:tc>
        <w:tc>
          <w:tcPr>
            <w:tcW w:w="661" w:type="dxa"/>
            <w:tcBorders>
              <w:top w:val="single" w:color="auto" w:sz="4" w:space="0"/>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100%</w:t>
            </w:r>
          </w:p>
        </w:tc>
        <w:tc>
          <w:tcPr>
            <w:tcW w:w="580" w:type="dxa"/>
            <w:tcBorders>
              <w:top w:val="single" w:color="auto" w:sz="4" w:space="0"/>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5</w:t>
            </w:r>
          </w:p>
        </w:tc>
        <w:tc>
          <w:tcPr>
            <w:tcW w:w="1267" w:type="dxa"/>
            <w:tcBorders>
              <w:top w:val="single" w:color="auto" w:sz="4" w:space="0"/>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c>
          <w:tcPr>
            <w:tcW w:w="722"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r>
      <w:tr>
        <w:tblPrEx>
          <w:tblCellMar>
            <w:top w:w="0" w:type="dxa"/>
            <w:left w:w="0" w:type="dxa"/>
            <w:bottom w:w="0" w:type="dxa"/>
            <w:right w:w="0" w:type="dxa"/>
          </w:tblCellMar>
        </w:tblPrEx>
        <w:trPr>
          <w:trHeight w:val="870" w:hRule="atLeast"/>
        </w:trPr>
        <w:tc>
          <w:tcPr>
            <w:tcW w:w="695" w:type="dxa"/>
            <w:vMerge w:val="restart"/>
            <w:tcBorders>
              <w:top w:val="nil"/>
              <w:left w:val="single" w:color="auto" w:sz="4" w:space="0"/>
              <w:bottom w:val="single" w:color="000000"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效 果</w:t>
            </w:r>
          </w:p>
        </w:tc>
        <w:tc>
          <w:tcPr>
            <w:tcW w:w="503" w:type="dxa"/>
            <w:vMerge w:val="restart"/>
            <w:tcBorders>
              <w:top w:val="nil"/>
              <w:left w:val="single" w:color="auto" w:sz="4" w:space="0"/>
              <w:bottom w:val="single" w:color="000000"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履职尽 责（60 分）</w:t>
            </w:r>
          </w:p>
        </w:tc>
        <w:tc>
          <w:tcPr>
            <w:tcW w:w="611" w:type="dxa"/>
            <w:tcBorders>
              <w:top w:val="nil"/>
              <w:left w:val="nil"/>
              <w:bottom w:val="single" w:color="auto"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项目 产出 （40 分）</w:t>
            </w:r>
          </w:p>
        </w:tc>
        <w:tc>
          <w:tcPr>
            <w:tcW w:w="380" w:type="dxa"/>
            <w:tcBorders>
              <w:top w:val="nil"/>
              <w:left w:val="nil"/>
              <w:bottom w:val="single" w:color="auto"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40</w:t>
            </w:r>
          </w:p>
        </w:tc>
        <w:tc>
          <w:tcPr>
            <w:tcW w:w="2244" w:type="dxa"/>
            <w:tcBorders>
              <w:top w:val="nil"/>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c>
          <w:tcPr>
            <w:tcW w:w="4453" w:type="dxa"/>
            <w:gridSpan w:val="3"/>
            <w:vMerge w:val="restart"/>
            <w:tcBorders>
              <w:top w:val="nil"/>
              <w:left w:val="single" w:color="auto" w:sz="4" w:space="0"/>
              <w:bottom w:val="single" w:color="000000"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1. 若为定性指标，根据“三档” 原则分别按照指标分值的100-80% （含）、80-50% （含）、50-10%来记分； 2. 若为定量指标，完成值达到指 标值，记满分；未达到指标值， 按完成比率计分，正向指标（即 指标值为》*）得分=实际完成 值/年初目标值*该指标分值，反 向指标（即指标值为《*）得分 =年初目标值/实际完成值*该指 标分值。</w:t>
            </w:r>
          </w:p>
        </w:tc>
        <w:tc>
          <w:tcPr>
            <w:tcW w:w="1000" w:type="dxa"/>
            <w:tcBorders>
              <w:top w:val="nil"/>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lang w:val="en-US" w:eastAsia="zh-CN"/>
              </w:rPr>
            </w:pPr>
            <w:r>
              <w:rPr>
                <w:rFonts w:hint="eastAsia" w:ascii="仿宋" w:hAnsi="仿宋" w:eastAsia="仿宋" w:cs="仿宋"/>
                <w:color w:val="333333"/>
                <w:kern w:val="0"/>
                <w:sz w:val="18"/>
                <w:szCs w:val="18"/>
              </w:rPr>
              <w:t>　</w:t>
            </w:r>
            <w:r>
              <w:rPr>
                <w:rFonts w:hint="eastAsia" w:ascii="仿宋" w:hAnsi="仿宋" w:eastAsia="仿宋" w:cs="仿宋"/>
                <w:color w:val="333333"/>
                <w:kern w:val="0"/>
                <w:sz w:val="18"/>
                <w:szCs w:val="18"/>
                <w:lang w:val="en-US" w:eastAsia="zh-CN"/>
              </w:rPr>
              <w:t>100%</w:t>
            </w:r>
          </w:p>
        </w:tc>
        <w:tc>
          <w:tcPr>
            <w:tcW w:w="661" w:type="dxa"/>
            <w:tcBorders>
              <w:top w:val="nil"/>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100%</w:t>
            </w:r>
          </w:p>
        </w:tc>
        <w:tc>
          <w:tcPr>
            <w:tcW w:w="661" w:type="dxa"/>
            <w:tcBorders>
              <w:top w:val="nil"/>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100%</w:t>
            </w:r>
          </w:p>
        </w:tc>
        <w:tc>
          <w:tcPr>
            <w:tcW w:w="580" w:type="dxa"/>
            <w:tcBorders>
              <w:top w:val="nil"/>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40</w:t>
            </w:r>
          </w:p>
        </w:tc>
        <w:tc>
          <w:tcPr>
            <w:tcW w:w="1267" w:type="dxa"/>
            <w:tcBorders>
              <w:top w:val="nil"/>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c>
          <w:tcPr>
            <w:tcW w:w="722" w:type="dxa"/>
            <w:gridSpan w:val="2"/>
            <w:tcBorders>
              <w:top w:val="nil"/>
              <w:left w:val="nil"/>
              <w:bottom w:val="single" w:color="auto"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r>
      <w:tr>
        <w:tblPrEx>
          <w:tblCellMar>
            <w:top w:w="0" w:type="dxa"/>
            <w:left w:w="0" w:type="dxa"/>
            <w:bottom w:w="0" w:type="dxa"/>
            <w:right w:w="0" w:type="dxa"/>
          </w:tblCellMar>
        </w:tblPrEx>
        <w:trPr>
          <w:trHeight w:val="870" w:hRule="atLeast"/>
        </w:trPr>
        <w:tc>
          <w:tcPr>
            <w:tcW w:w="695" w:type="dxa"/>
            <w:vMerge w:val="continue"/>
            <w:tcBorders>
              <w:top w:val="nil"/>
              <w:left w:val="single" w:color="auto" w:sz="4" w:space="0"/>
              <w:bottom w:val="single" w:color="000000" w:sz="4" w:space="0"/>
              <w:right w:val="single" w:color="auto" w:sz="4" w:space="0"/>
            </w:tcBorders>
            <w:vAlign w:val="center"/>
          </w:tcPr>
          <w:p>
            <w:pPr>
              <w:widowControl/>
              <w:spacing w:line="495" w:lineRule="atLeast"/>
              <w:ind w:firstLine="360" w:firstLineChars="200"/>
              <w:jc w:val="left"/>
              <w:rPr>
                <w:rFonts w:hint="eastAsia" w:ascii="仿宋" w:hAnsi="仿宋" w:eastAsia="仿宋" w:cs="仿宋"/>
                <w:color w:val="333333"/>
                <w:kern w:val="0"/>
                <w:sz w:val="18"/>
                <w:szCs w:val="18"/>
              </w:rPr>
            </w:pPr>
          </w:p>
        </w:tc>
        <w:tc>
          <w:tcPr>
            <w:tcW w:w="503" w:type="dxa"/>
            <w:vMerge w:val="continue"/>
            <w:tcBorders>
              <w:top w:val="nil"/>
              <w:left w:val="single" w:color="auto" w:sz="4" w:space="0"/>
              <w:bottom w:val="single" w:color="000000" w:sz="4" w:space="0"/>
              <w:right w:val="single" w:color="auto" w:sz="4" w:space="0"/>
            </w:tcBorders>
            <w:vAlign w:val="center"/>
          </w:tcPr>
          <w:p>
            <w:pPr>
              <w:widowControl/>
              <w:spacing w:line="495" w:lineRule="atLeast"/>
              <w:ind w:firstLine="360" w:firstLineChars="200"/>
              <w:jc w:val="left"/>
              <w:rPr>
                <w:rFonts w:hint="eastAsia" w:ascii="仿宋" w:hAnsi="仿宋" w:eastAsia="仿宋" w:cs="仿宋"/>
                <w:color w:val="333333"/>
                <w:kern w:val="0"/>
                <w:sz w:val="18"/>
                <w:szCs w:val="18"/>
              </w:rPr>
            </w:pPr>
          </w:p>
        </w:tc>
        <w:tc>
          <w:tcPr>
            <w:tcW w:w="611" w:type="dxa"/>
            <w:tcBorders>
              <w:top w:val="nil"/>
              <w:left w:val="nil"/>
              <w:bottom w:val="single" w:color="000000"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项目 效益 （20 分）</w:t>
            </w:r>
          </w:p>
        </w:tc>
        <w:tc>
          <w:tcPr>
            <w:tcW w:w="380" w:type="dxa"/>
            <w:tcBorders>
              <w:top w:val="nil"/>
              <w:left w:val="nil"/>
              <w:bottom w:val="single" w:color="000000"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20</w:t>
            </w:r>
          </w:p>
        </w:tc>
        <w:tc>
          <w:tcPr>
            <w:tcW w:w="2244" w:type="dxa"/>
            <w:tcBorders>
              <w:top w:val="nil"/>
              <w:left w:val="nil"/>
              <w:bottom w:val="single" w:color="000000"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c>
          <w:tcPr>
            <w:tcW w:w="4453" w:type="dxa"/>
            <w:gridSpan w:val="3"/>
            <w:vMerge w:val="continue"/>
            <w:tcBorders>
              <w:top w:val="nil"/>
              <w:left w:val="single" w:color="auto" w:sz="4" w:space="0"/>
              <w:bottom w:val="single" w:color="000000" w:sz="4" w:space="0"/>
              <w:right w:val="single" w:color="auto" w:sz="4" w:space="0"/>
            </w:tcBorders>
            <w:tcMar>
              <w:top w:w="14" w:type="dxa"/>
              <w:left w:w="14" w:type="dxa"/>
              <w:bottom w:w="0" w:type="dxa"/>
              <w:right w:w="14" w:type="dxa"/>
            </w:tcMar>
            <w:vAlign w:val="center"/>
          </w:tcPr>
          <w:p>
            <w:pPr>
              <w:widowControl/>
              <w:spacing w:line="495" w:lineRule="atLeast"/>
              <w:ind w:firstLine="360" w:firstLineChars="200"/>
              <w:jc w:val="left"/>
              <w:rPr>
                <w:rFonts w:hint="eastAsia" w:ascii="仿宋" w:hAnsi="仿宋" w:eastAsia="仿宋" w:cs="仿宋"/>
                <w:color w:val="333333"/>
                <w:kern w:val="0"/>
                <w:sz w:val="18"/>
                <w:szCs w:val="18"/>
              </w:rPr>
            </w:pPr>
          </w:p>
        </w:tc>
        <w:tc>
          <w:tcPr>
            <w:tcW w:w="1000" w:type="dxa"/>
            <w:tcBorders>
              <w:top w:val="nil"/>
              <w:left w:val="nil"/>
              <w:bottom w:val="single" w:color="000000"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lang w:val="en-US" w:eastAsia="zh-CN"/>
              </w:rPr>
              <w:t>100%</w:t>
            </w:r>
            <w:r>
              <w:rPr>
                <w:rFonts w:hint="eastAsia" w:ascii="仿宋" w:hAnsi="仿宋" w:eastAsia="仿宋" w:cs="仿宋"/>
                <w:color w:val="333333"/>
                <w:kern w:val="0"/>
                <w:sz w:val="18"/>
                <w:szCs w:val="18"/>
              </w:rPr>
              <w:t>　</w:t>
            </w:r>
          </w:p>
        </w:tc>
        <w:tc>
          <w:tcPr>
            <w:tcW w:w="661" w:type="dxa"/>
            <w:tcBorders>
              <w:top w:val="nil"/>
              <w:left w:val="nil"/>
              <w:bottom w:val="single" w:color="000000"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100%</w:t>
            </w:r>
          </w:p>
        </w:tc>
        <w:tc>
          <w:tcPr>
            <w:tcW w:w="661" w:type="dxa"/>
            <w:tcBorders>
              <w:top w:val="nil"/>
              <w:left w:val="nil"/>
              <w:bottom w:val="single" w:color="000000"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100%</w:t>
            </w:r>
          </w:p>
        </w:tc>
        <w:tc>
          <w:tcPr>
            <w:tcW w:w="580" w:type="dxa"/>
            <w:tcBorders>
              <w:top w:val="nil"/>
              <w:left w:val="nil"/>
              <w:bottom w:val="single" w:color="000000"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20</w:t>
            </w:r>
          </w:p>
        </w:tc>
        <w:tc>
          <w:tcPr>
            <w:tcW w:w="1267" w:type="dxa"/>
            <w:tcBorders>
              <w:top w:val="nil"/>
              <w:left w:val="nil"/>
              <w:bottom w:val="single" w:color="000000"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c>
          <w:tcPr>
            <w:tcW w:w="722" w:type="dxa"/>
            <w:gridSpan w:val="2"/>
            <w:tcBorders>
              <w:top w:val="nil"/>
              <w:left w:val="nil"/>
              <w:bottom w:val="single" w:color="000000" w:sz="4" w:space="0"/>
              <w:right w:val="single" w:color="auto" w:sz="4" w:space="0"/>
            </w:tcBorders>
            <w:tcMar>
              <w:top w:w="14" w:type="dxa"/>
              <w:left w:w="14" w:type="dxa"/>
              <w:bottom w:w="0" w:type="dxa"/>
              <w:right w:w="14" w:type="dxa"/>
            </w:tcMar>
          </w:tcPr>
          <w:p>
            <w:pPr>
              <w:widowControl/>
              <w:spacing w:line="495" w:lineRule="atLeast"/>
              <w:ind w:firstLine="360" w:firstLineChars="200"/>
              <w:jc w:val="left"/>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w:t>
            </w:r>
          </w:p>
        </w:tc>
      </w:tr>
      <w:tr>
        <w:tblPrEx>
          <w:tblCellMar>
            <w:top w:w="0" w:type="dxa"/>
            <w:left w:w="0" w:type="dxa"/>
            <w:bottom w:w="0" w:type="dxa"/>
            <w:right w:w="0" w:type="dxa"/>
          </w:tblCellMar>
        </w:tblPrEx>
        <w:trPr>
          <w:trHeight w:val="255" w:hRule="atLeast"/>
        </w:trPr>
        <w:tc>
          <w:tcPr>
            <w:tcW w:w="1198" w:type="dxa"/>
            <w:gridSpan w:val="2"/>
            <w:tcBorders>
              <w:top w:val="nil"/>
              <w:left w:val="nil"/>
              <w:bottom w:val="nil"/>
              <w:right w:val="nil"/>
            </w:tcBorders>
            <w:tcMar>
              <w:top w:w="14" w:type="dxa"/>
              <w:left w:w="14" w:type="dxa"/>
              <w:bottom w:w="0" w:type="dxa"/>
              <w:right w:w="14" w:type="dxa"/>
            </w:tcMar>
          </w:tcPr>
          <w:p>
            <w:pPr>
              <w:spacing w:line="560" w:lineRule="exact"/>
              <w:rPr>
                <w:rFonts w:hint="eastAsia" w:ascii="仿宋" w:hAnsi="仿宋" w:eastAsia="仿宋" w:cs="仿宋"/>
                <w:sz w:val="18"/>
                <w:szCs w:val="18"/>
              </w:rPr>
            </w:pPr>
            <w:r>
              <w:rPr>
                <w:rFonts w:hint="eastAsia" w:ascii="仿宋" w:hAnsi="仿宋" w:eastAsia="仿宋" w:cs="仿宋"/>
                <w:sz w:val="18"/>
                <w:szCs w:val="18"/>
              </w:rPr>
              <w:t>备注：</w:t>
            </w:r>
          </w:p>
        </w:tc>
        <w:tc>
          <w:tcPr>
            <w:tcW w:w="61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38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2244"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4453" w:type="dxa"/>
            <w:gridSpan w:val="3"/>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100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66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66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58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1267"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722" w:type="dxa"/>
            <w:gridSpan w:val="2"/>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r>
      <w:tr>
        <w:tblPrEx>
          <w:tblCellMar>
            <w:top w:w="0" w:type="dxa"/>
            <w:left w:w="0" w:type="dxa"/>
            <w:bottom w:w="0" w:type="dxa"/>
            <w:right w:w="0" w:type="dxa"/>
          </w:tblCellMar>
        </w:tblPrEx>
        <w:trPr>
          <w:trHeight w:val="255" w:hRule="atLeast"/>
        </w:trPr>
        <w:tc>
          <w:tcPr>
            <w:tcW w:w="8886" w:type="dxa"/>
            <w:gridSpan w:val="8"/>
            <w:tcBorders>
              <w:top w:val="nil"/>
              <w:left w:val="nil"/>
              <w:bottom w:val="nil"/>
              <w:right w:val="nil"/>
            </w:tcBorders>
            <w:tcMar>
              <w:top w:w="14" w:type="dxa"/>
              <w:left w:w="14" w:type="dxa"/>
              <w:bottom w:w="0" w:type="dxa"/>
              <w:right w:w="14" w:type="dxa"/>
            </w:tcMar>
          </w:tcPr>
          <w:p>
            <w:pPr>
              <w:spacing w:line="560" w:lineRule="exact"/>
              <w:rPr>
                <w:rFonts w:hint="eastAsia" w:ascii="仿宋" w:hAnsi="仿宋" w:eastAsia="仿宋" w:cs="仿宋"/>
                <w:b/>
                <w:bCs/>
                <w:sz w:val="18"/>
                <w:szCs w:val="18"/>
              </w:rPr>
            </w:pPr>
            <w:r>
              <w:rPr>
                <w:rFonts w:hint="eastAsia" w:ascii="仿宋" w:hAnsi="仿宋" w:eastAsia="仿宋" w:cs="仿宋"/>
                <w:b/>
                <w:bCs/>
                <w:sz w:val="18"/>
                <w:szCs w:val="18"/>
              </w:rPr>
              <w:t xml:space="preserve">1. </w:t>
            </w:r>
            <w:r>
              <w:rPr>
                <w:rFonts w:hint="eastAsia" w:ascii="仿宋" w:hAnsi="仿宋" w:eastAsia="仿宋" w:cs="仿宋"/>
                <w:sz w:val="18"/>
                <w:szCs w:val="18"/>
              </w:rPr>
              <w:t>“成目产出”和''项目效果”直接细化成部门年初绩效目标中的指标，并根据重要程度赋权。</w:t>
            </w:r>
          </w:p>
        </w:tc>
        <w:tc>
          <w:tcPr>
            <w:tcW w:w="100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66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66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58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1267"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722" w:type="dxa"/>
            <w:gridSpan w:val="2"/>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r>
      <w:tr>
        <w:tblPrEx>
          <w:tblCellMar>
            <w:top w:w="0" w:type="dxa"/>
            <w:left w:w="0" w:type="dxa"/>
            <w:bottom w:w="0" w:type="dxa"/>
            <w:right w:w="0" w:type="dxa"/>
          </w:tblCellMar>
        </w:tblPrEx>
        <w:trPr>
          <w:trHeight w:val="255" w:hRule="atLeast"/>
        </w:trPr>
        <w:tc>
          <w:tcPr>
            <w:tcW w:w="695"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503"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61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38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3307" w:type="dxa"/>
            <w:gridSpan w:val="2"/>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3390" w:type="dxa"/>
            <w:gridSpan w:val="2"/>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100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66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66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58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1267"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722" w:type="dxa"/>
            <w:gridSpan w:val="2"/>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r>
      <w:tr>
        <w:tblPrEx>
          <w:tblCellMar>
            <w:top w:w="0" w:type="dxa"/>
            <w:left w:w="0" w:type="dxa"/>
            <w:bottom w:w="0" w:type="dxa"/>
            <w:right w:w="0" w:type="dxa"/>
          </w:tblCellMar>
        </w:tblPrEx>
        <w:trPr>
          <w:trHeight w:val="255" w:hRule="atLeast"/>
        </w:trPr>
        <w:tc>
          <w:tcPr>
            <w:tcW w:w="13777" w:type="dxa"/>
            <w:gridSpan w:val="15"/>
            <w:tcBorders>
              <w:top w:val="nil"/>
              <w:left w:val="nil"/>
              <w:bottom w:val="nil"/>
              <w:right w:val="nil"/>
            </w:tcBorders>
            <w:tcMar>
              <w:top w:w="14" w:type="dxa"/>
              <w:left w:w="14" w:type="dxa"/>
              <w:bottom w:w="0" w:type="dxa"/>
              <w:right w:w="14" w:type="dxa"/>
            </w:tcMar>
          </w:tcPr>
          <w:p>
            <w:pPr>
              <w:spacing w:line="560" w:lineRule="exact"/>
              <w:rPr>
                <w:rFonts w:hint="eastAsia" w:ascii="仿宋" w:hAnsi="仿宋" w:eastAsia="仿宋" w:cs="仿宋"/>
                <w:b/>
                <w:bCs/>
                <w:sz w:val="18"/>
                <w:szCs w:val="18"/>
              </w:rPr>
            </w:pPr>
            <w:r>
              <w:rPr>
                <w:rFonts w:hint="eastAsia" w:ascii="仿宋" w:hAnsi="仿宋" w:eastAsia="仿宋" w:cs="仿宋"/>
                <w:b/>
                <w:bCs/>
                <w:sz w:val="18"/>
                <w:szCs w:val="18"/>
              </w:rPr>
              <w:t xml:space="preserve">2. </w:t>
            </w:r>
            <w:r>
              <w:rPr>
                <w:rFonts w:hint="eastAsia" w:ascii="仿宋" w:hAnsi="仿宋" w:eastAsia="仿宋" w:cs="仿宋"/>
                <w:sz w:val="18"/>
                <w:szCs w:val="18"/>
              </w:rPr>
              <w:t>“绩效指标分析”是指参考历史数据、行业标准及绩效目标实际完成情况等相关资料，从“是否与项目密切相关，指标值是否可获取，指标值设置是否合理”等角度，从产出和效果类</w:t>
            </w:r>
          </w:p>
        </w:tc>
      </w:tr>
      <w:tr>
        <w:tblPrEx>
          <w:tblCellMar>
            <w:top w:w="0" w:type="dxa"/>
            <w:left w:w="0" w:type="dxa"/>
            <w:bottom w:w="0" w:type="dxa"/>
            <w:right w:w="0" w:type="dxa"/>
          </w:tblCellMar>
        </w:tblPrEx>
        <w:trPr>
          <w:trHeight w:val="255" w:hRule="atLeast"/>
        </w:trPr>
        <w:tc>
          <w:tcPr>
            <w:tcW w:w="5496" w:type="dxa"/>
            <w:gridSpan w:val="6"/>
            <w:tcBorders>
              <w:top w:val="nil"/>
              <w:left w:val="nil"/>
              <w:bottom w:val="nil"/>
              <w:right w:val="nil"/>
            </w:tcBorders>
            <w:tcMar>
              <w:top w:w="14" w:type="dxa"/>
              <w:left w:w="14" w:type="dxa"/>
              <w:bottom w:w="0" w:type="dxa"/>
              <w:right w:w="14" w:type="dxa"/>
            </w:tcMar>
          </w:tcPr>
          <w:p>
            <w:pPr>
              <w:spacing w:line="560" w:lineRule="exact"/>
              <w:rPr>
                <w:rFonts w:hint="eastAsia" w:ascii="仿宋" w:hAnsi="仿宋" w:eastAsia="仿宋" w:cs="仿宋"/>
                <w:sz w:val="18"/>
                <w:szCs w:val="18"/>
              </w:rPr>
            </w:pPr>
            <w:r>
              <w:rPr>
                <w:rFonts w:hint="eastAsia" w:ascii="仿宋" w:hAnsi="仿宋" w:eastAsia="仿宋" w:cs="仿宋"/>
                <w:sz w:val="18"/>
                <w:szCs w:val="18"/>
              </w:rPr>
              <w:t>指标中找出需要改进的指标，并逐项提出次年的编制意见和建议。</w:t>
            </w:r>
          </w:p>
        </w:tc>
        <w:tc>
          <w:tcPr>
            <w:tcW w:w="3390" w:type="dxa"/>
            <w:gridSpan w:val="2"/>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100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66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661"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580"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1435" w:type="dxa"/>
            <w:gridSpan w:val="2"/>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c>
          <w:tcPr>
            <w:tcW w:w="554" w:type="dxa"/>
            <w:tcBorders>
              <w:top w:val="nil"/>
              <w:left w:val="nil"/>
              <w:bottom w:val="nil"/>
              <w:right w:val="nil"/>
            </w:tcBorders>
            <w:tcMar>
              <w:top w:w="14" w:type="dxa"/>
              <w:left w:w="14" w:type="dxa"/>
              <w:bottom w:w="0" w:type="dxa"/>
              <w:right w:w="14" w:type="dxa"/>
            </w:tcMar>
            <w:vAlign w:val="center"/>
          </w:tcPr>
          <w:p>
            <w:pPr>
              <w:spacing w:line="560" w:lineRule="exact"/>
              <w:rPr>
                <w:rFonts w:hint="eastAsia" w:ascii="仿宋" w:hAnsi="仿宋" w:eastAsia="仿宋" w:cs="仿宋"/>
                <w:sz w:val="18"/>
                <w:szCs w:val="18"/>
              </w:rPr>
            </w:pPr>
          </w:p>
        </w:tc>
      </w:tr>
    </w:tbl>
    <w:p>
      <w:pPr>
        <w:widowControl/>
        <w:jc w:val="left"/>
        <w:rPr>
          <w:rFonts w:hint="eastAsia" w:ascii="仿宋" w:hAnsi="仿宋" w:eastAsia="仿宋" w:cs="仿宋"/>
          <w:color w:val="000000"/>
          <w:kern w:val="0"/>
          <w:sz w:val="32"/>
          <w:szCs w:val="32"/>
        </w:rPr>
        <w:sectPr>
          <w:footerReference r:id="rId3" w:type="default"/>
          <w:pgSz w:w="16838" w:h="11906" w:orient="landscape"/>
          <w:pgMar w:top="1588" w:right="1588" w:bottom="1588" w:left="1588" w:header="851" w:footer="992" w:gutter="0"/>
          <w:cols w:space="0" w:num="1"/>
          <w:docGrid w:type="lines" w:linePitch="315" w:charSpace="0"/>
        </w:sectPr>
      </w:pPr>
    </w:p>
    <w:p>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十一、其他重要事项说明</w:t>
      </w:r>
    </w:p>
    <w:p>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（一）机关运行经费支出情况说明</w:t>
      </w:r>
    </w:p>
    <w:p>
      <w:pPr>
        <w:widowControl/>
        <w:spacing w:line="560" w:lineRule="exact"/>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2019</w:t>
      </w:r>
      <w:r>
        <w:rPr>
          <w:rFonts w:hint="eastAsia" w:ascii="仿宋" w:hAnsi="仿宋" w:eastAsia="仿宋" w:cs="仿宋"/>
          <w:color w:val="000000"/>
          <w:kern w:val="0"/>
          <w:sz w:val="32"/>
          <w:szCs w:val="32"/>
        </w:rPr>
        <w:t>年度机关运行经费预算为</w:t>
      </w:r>
      <w:r>
        <w:rPr>
          <w:rFonts w:hint="eastAsia" w:ascii="仿宋" w:hAnsi="仿宋" w:eastAsia="仿宋" w:cs="仿宋"/>
          <w:color w:val="000000"/>
          <w:kern w:val="0"/>
          <w:sz w:val="32"/>
          <w:szCs w:val="32"/>
          <w:lang w:val="en-US" w:eastAsia="zh-CN"/>
        </w:rPr>
        <w:t>229.99</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lang w:val="en-US" w:eastAsia="zh-CN"/>
        </w:rPr>
        <w:t>250.05</w:t>
      </w:r>
      <w:r>
        <w:rPr>
          <w:rFonts w:hint="eastAsia" w:ascii="仿宋" w:hAnsi="仿宋" w:eastAsia="仿宋" w:cs="仿宋"/>
          <w:color w:val="000000"/>
          <w:kern w:val="0"/>
          <w:sz w:val="32"/>
          <w:szCs w:val="32"/>
        </w:rPr>
        <w:t>万元，完成预算的</w:t>
      </w:r>
      <w:r>
        <w:rPr>
          <w:rFonts w:hint="eastAsia" w:ascii="仿宋" w:hAnsi="仿宋" w:eastAsia="仿宋" w:cs="仿宋"/>
          <w:color w:val="000000"/>
          <w:kern w:val="0"/>
          <w:sz w:val="32"/>
          <w:szCs w:val="32"/>
          <w:lang w:val="en-US" w:eastAsia="zh-CN"/>
        </w:rPr>
        <w:t>108.72</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rPr>
        <w:t>。决算数较预算数增加</w:t>
      </w:r>
      <w:r>
        <w:rPr>
          <w:rFonts w:hint="eastAsia" w:ascii="仿宋" w:hAnsi="仿宋" w:eastAsia="仿宋" w:cs="仿宋"/>
          <w:color w:val="000000"/>
          <w:kern w:val="0"/>
          <w:sz w:val="32"/>
          <w:szCs w:val="32"/>
          <w:lang w:val="en-US" w:eastAsia="zh-CN"/>
        </w:rPr>
        <w:t>20.06</w:t>
      </w:r>
      <w:r>
        <w:rPr>
          <w:rFonts w:hint="eastAsia" w:ascii="仿宋" w:hAnsi="仿宋" w:eastAsia="仿宋" w:cs="仿宋"/>
          <w:color w:val="000000"/>
          <w:kern w:val="0"/>
          <w:sz w:val="32"/>
          <w:szCs w:val="32"/>
        </w:rPr>
        <w:t>万元，主要原因是</w:t>
      </w:r>
      <w:r>
        <w:rPr>
          <w:rFonts w:hint="eastAsia" w:ascii="仿宋" w:hAnsi="仿宋" w:eastAsia="仿宋" w:cs="仿宋"/>
          <w:color w:val="000000"/>
          <w:kern w:val="0"/>
          <w:sz w:val="32"/>
          <w:szCs w:val="32"/>
          <w:lang w:eastAsia="zh-CN"/>
        </w:rPr>
        <w:t>人员增加及调资。</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（二）政府采购支出情况说明</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w:t>
      </w:r>
      <w:r>
        <w:rPr>
          <w:rFonts w:hint="eastAsia" w:ascii="仿宋" w:hAnsi="仿宋" w:eastAsia="仿宋" w:cs="仿宋"/>
          <w:sz w:val="32"/>
          <w:szCs w:val="32"/>
        </w:rPr>
        <w:t>2019</w:t>
      </w:r>
      <w:r>
        <w:rPr>
          <w:rFonts w:hint="eastAsia" w:ascii="仿宋" w:hAnsi="仿宋" w:eastAsia="仿宋" w:cs="仿宋"/>
          <w:sz w:val="32"/>
          <w:szCs w:val="32"/>
        </w:rPr>
        <w:t>年度无政府采购支出</w:t>
      </w:r>
    </w:p>
    <w:p>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（三）国有资产占用及购置情况说明</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rPr>
        <w:t>2019</w:t>
      </w:r>
      <w:r>
        <w:rPr>
          <w:rFonts w:hint="eastAsia" w:ascii="仿宋" w:hAnsi="仿宋" w:eastAsia="仿宋" w:cs="仿宋"/>
          <w:sz w:val="32"/>
          <w:szCs w:val="32"/>
        </w:rPr>
        <w:t>年末，本部门机关及所属单位共有车辆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辆；单价</w:t>
      </w:r>
      <w:r>
        <w:rPr>
          <w:rFonts w:hint="eastAsia" w:ascii="仿宋" w:hAnsi="仿宋" w:eastAsia="仿宋" w:cs="仿宋"/>
          <w:sz w:val="32"/>
          <w:szCs w:val="32"/>
        </w:rPr>
        <w:t>50</w:t>
      </w:r>
      <w:r>
        <w:rPr>
          <w:rFonts w:hint="eastAsia" w:ascii="仿宋" w:hAnsi="仿宋" w:eastAsia="仿宋" w:cs="仿宋"/>
          <w:sz w:val="32"/>
          <w:szCs w:val="32"/>
        </w:rPr>
        <w:t>万元以上的通用设备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台（套）；单价</w:t>
      </w:r>
      <w:r>
        <w:rPr>
          <w:rFonts w:hint="eastAsia" w:ascii="仿宋" w:hAnsi="仿宋" w:eastAsia="仿宋" w:cs="仿宋"/>
          <w:sz w:val="32"/>
          <w:szCs w:val="32"/>
        </w:rPr>
        <w:t>100</w:t>
      </w:r>
      <w:r>
        <w:rPr>
          <w:rFonts w:hint="eastAsia" w:ascii="仿宋" w:hAnsi="仿宋" w:eastAsia="仿宋" w:cs="仿宋"/>
          <w:sz w:val="32"/>
          <w:szCs w:val="32"/>
        </w:rPr>
        <w:t>万元以上的专用设备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r>
        <w:rPr>
          <w:rFonts w:hint="eastAsia" w:ascii="仿宋" w:hAnsi="仿宋" w:eastAsia="仿宋" w:cs="仿宋"/>
          <w:sz w:val="32"/>
          <w:szCs w:val="32"/>
        </w:rPr>
        <w:t>2019</w:t>
      </w:r>
      <w:r>
        <w:rPr>
          <w:rFonts w:hint="eastAsia" w:ascii="仿宋" w:hAnsi="仿宋" w:eastAsia="仿宋" w:cs="仿宋"/>
          <w:sz w:val="32"/>
          <w:szCs w:val="32"/>
        </w:rPr>
        <w:t>年度当年购置车辆</w:t>
      </w:r>
      <w:r>
        <w:rPr>
          <w:rFonts w:hint="eastAsia" w:ascii="仿宋" w:hAnsi="仿宋" w:eastAsia="仿宋" w:cs="仿宋"/>
          <w:sz w:val="32"/>
          <w:szCs w:val="32"/>
          <w:lang w:val="en-US" w:eastAsia="zh-CN"/>
        </w:rPr>
        <w:t>0</w:t>
      </w:r>
      <w:r>
        <w:rPr>
          <w:rFonts w:hint="eastAsia" w:ascii="仿宋" w:hAnsi="仿宋" w:eastAsia="仿宋" w:cs="仿宋"/>
          <w:sz w:val="32"/>
          <w:szCs w:val="32"/>
        </w:rPr>
        <w:t>辆；购置单价</w:t>
      </w:r>
      <w:r>
        <w:rPr>
          <w:rFonts w:hint="eastAsia" w:ascii="仿宋" w:hAnsi="仿宋" w:eastAsia="仿宋" w:cs="仿宋"/>
          <w:sz w:val="32"/>
          <w:szCs w:val="32"/>
        </w:rPr>
        <w:t>50</w:t>
      </w:r>
      <w:r>
        <w:rPr>
          <w:rFonts w:hint="eastAsia" w:ascii="仿宋" w:hAnsi="仿宋" w:eastAsia="仿宋" w:cs="仿宋"/>
          <w:sz w:val="32"/>
          <w:szCs w:val="32"/>
        </w:rPr>
        <w:t>万元以上的通用设备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台（套）；购置单价</w:t>
      </w:r>
      <w:r>
        <w:rPr>
          <w:rFonts w:hint="eastAsia" w:ascii="仿宋" w:hAnsi="仿宋" w:eastAsia="仿宋" w:cs="仿宋"/>
          <w:sz w:val="32"/>
          <w:szCs w:val="32"/>
        </w:rPr>
        <w:t>100</w:t>
      </w:r>
      <w:r>
        <w:rPr>
          <w:rFonts w:hint="eastAsia" w:ascii="仿宋" w:hAnsi="仿宋" w:eastAsia="仿宋" w:cs="仿宋"/>
          <w:sz w:val="32"/>
          <w:szCs w:val="32"/>
        </w:rPr>
        <w:t>万元以上的专用设备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widowControl/>
        <w:spacing w:line="560" w:lineRule="exact"/>
        <w:ind w:firstLine="640" w:firstLineChars="200"/>
        <w:jc w:val="left"/>
        <w:rPr>
          <w:rFonts w:hint="eastAsia" w:ascii="仿宋" w:hAnsi="仿宋" w:eastAsia="仿宋" w:cs="仿宋"/>
          <w:color w:val="000000"/>
          <w:kern w:val="0"/>
          <w:sz w:val="32"/>
          <w:szCs w:val="32"/>
        </w:rPr>
      </w:pPr>
    </w:p>
    <w:p>
      <w:pPr>
        <w:spacing w:after="100" w:afterAutospacing="1" w:line="560" w:lineRule="exact"/>
        <w:ind w:firstLine="640" w:firstLineChars="200"/>
        <w:jc w:val="center"/>
        <w:rPr>
          <w:rFonts w:hint="eastAsia" w:ascii="仿宋" w:hAnsi="仿宋" w:eastAsia="仿宋" w:cs="仿宋"/>
          <w:b/>
          <w:sz w:val="32"/>
          <w:szCs w:val="32"/>
        </w:rPr>
      </w:pPr>
      <w:r>
        <w:rPr>
          <w:rFonts w:hint="eastAsia" w:ascii="仿宋" w:hAnsi="仿宋" w:eastAsia="仿宋" w:cs="仿宋"/>
          <w:b/>
          <w:color w:val="000000"/>
          <w:kern w:val="0"/>
          <w:sz w:val="32"/>
          <w:szCs w:val="32"/>
        </w:rPr>
        <w:t>第三部分</w:t>
      </w:r>
      <w:r>
        <w:rPr>
          <w:rFonts w:hint="eastAsia" w:ascii="仿宋" w:hAnsi="仿宋" w:eastAsia="仿宋" w:cs="仿宋"/>
          <w:b/>
          <w:color w:val="000000"/>
          <w:kern w:val="0"/>
          <w:sz w:val="32"/>
          <w:szCs w:val="32"/>
        </w:rPr>
        <w:t xml:space="preserve"> </w:t>
      </w:r>
      <w:r>
        <w:rPr>
          <w:rFonts w:hint="eastAsia" w:ascii="仿宋" w:hAnsi="仿宋" w:eastAsia="仿宋" w:cs="仿宋"/>
          <w:b/>
          <w:color w:val="000000"/>
          <w:kern w:val="0"/>
          <w:sz w:val="32"/>
          <w:szCs w:val="32"/>
        </w:rPr>
        <w:t>专业名词解释</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机关运行经费：指各部门的公用经费，包括办公及印刷费、邮电费、差旅费、会议费、福利费、日常维修费、专用材料及一般设备购置费、办公用房水电费、办公用房取暖费、办公用房物业管理费、公务用车运行费以及其他费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（二）三公经费：指因公出国出境、公务车辆运行及维护费、公务接待。</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（三）社保缴费：社保缴费包括基本养老保险、职业年金、医疗保险、工伤保险、生育保险、大病医疗及住房公积金缴费。</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（单位根据自己公开内容添加专业名词解释）</w:t>
      </w:r>
    </w:p>
    <w:p>
      <w:pPr>
        <w:widowControl/>
        <w:spacing w:line="560" w:lineRule="exact"/>
        <w:ind w:firstLine="200"/>
        <w:jc w:val="center"/>
        <w:rPr>
          <w:rFonts w:hint="eastAsia" w:ascii="仿宋" w:hAnsi="仿宋" w:eastAsia="仿宋" w:cs="仿宋"/>
          <w:b/>
          <w:color w:val="000000"/>
          <w:kern w:val="0"/>
          <w:sz w:val="32"/>
          <w:szCs w:val="32"/>
        </w:rPr>
      </w:pPr>
    </w:p>
    <w:p>
      <w:pPr>
        <w:widowControl/>
        <w:spacing w:line="560" w:lineRule="exact"/>
        <w:ind w:firstLine="200"/>
        <w:jc w:val="center"/>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第四部分</w:t>
      </w:r>
      <w:r>
        <w:rPr>
          <w:rFonts w:hint="eastAsia" w:ascii="仿宋" w:hAnsi="仿宋" w:eastAsia="仿宋" w:cs="仿宋"/>
          <w:b/>
          <w:color w:val="000000"/>
          <w:kern w:val="0"/>
          <w:sz w:val="32"/>
          <w:szCs w:val="32"/>
        </w:rPr>
        <w:t xml:space="preserve"> 2019</w:t>
      </w:r>
      <w:r>
        <w:rPr>
          <w:rFonts w:hint="eastAsia" w:ascii="仿宋" w:hAnsi="仿宋" w:eastAsia="仿宋" w:cs="仿宋"/>
          <w:b/>
          <w:color w:val="000000"/>
          <w:kern w:val="0"/>
          <w:sz w:val="32"/>
          <w:szCs w:val="32"/>
        </w:rPr>
        <w:t>年度部门决算表</w:t>
      </w:r>
    </w:p>
    <w:p>
      <w:pPr>
        <w:widowControl/>
        <w:spacing w:line="560" w:lineRule="exact"/>
        <w:ind w:firstLine="2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（具体见附件）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一、收入支出决算总表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二、收入决算总表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三、支出决算总表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七、一般公共预算财政拨款“三公”经费及会议费、培训费支出决算表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九、政府采购支出决算表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备注：以上涉及金额转换为万元时，因四舍五入可能存在尾差</w:t>
      </w:r>
      <w:r>
        <w:rPr>
          <w:rFonts w:hint="eastAsia" w:ascii="仿宋" w:hAnsi="仿宋" w:eastAsia="仿宋" w:cs="仿宋"/>
          <w:sz w:val="32"/>
          <w:szCs w:val="32"/>
        </w:rPr>
        <w:t>,</w:t>
      </w:r>
      <w:r>
        <w:rPr>
          <w:rFonts w:hint="eastAsia" w:ascii="仿宋" w:hAnsi="仿宋" w:eastAsia="仿宋" w:cs="仿宋"/>
          <w:sz w:val="32"/>
          <w:szCs w:val="32"/>
        </w:rPr>
        <w:t>忽略不计。</w:t>
      </w:r>
    </w:p>
    <w:p>
      <w:pPr>
        <w:rPr>
          <w:rFonts w:hint="eastAsia" w:ascii="仿宋" w:hAnsi="仿宋" w:eastAsia="仿宋" w:cs="仿宋"/>
        </w:rPr>
      </w:pPr>
    </w:p>
    <w:sectPr>
      <w:pgSz w:w="11906" w:h="16838"/>
      <w:pgMar w:top="1588" w:right="1588" w:bottom="1588" w:left="1588" w:header="851" w:footer="992" w:gutter="0"/>
      <w:cols w:space="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22DFA"/>
    <w:multiLevelType w:val="multilevel"/>
    <w:tmpl w:val="D5722DFA"/>
    <w:lvl w:ilvl="0" w:tentative="0">
      <w:start w:val="2"/>
      <w:numFmt w:val="decimal"/>
      <w:suff w:val="space"/>
      <w:lvlText w:val="%1."/>
      <w:lvlJc w:val="left"/>
      <w:rPr>
        <w:rFonts w:cs="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decimalEnclosedCircleChinese"/>
      <w:lvlText w:val="%3"/>
      <w:lvlJc w:val="left"/>
      <w:pPr>
        <w:tabs>
          <w:tab w:val="left" w:pos="1260"/>
        </w:tabs>
        <w:ind w:left="1260" w:hanging="420"/>
      </w:pPr>
      <w:rPr>
        <w:rFonts w:hint="default" w:cs="Times New Roman"/>
      </w:rPr>
    </w:lvl>
    <w:lvl w:ilvl="3" w:tentative="0">
      <w:start w:val="1"/>
      <w:numFmt w:val="decimal"/>
      <w:lvlText w:val="%4)"/>
      <w:lvlJc w:val="left"/>
      <w:pPr>
        <w:tabs>
          <w:tab w:val="left" w:pos="1680"/>
        </w:tabs>
        <w:ind w:left="1680" w:hanging="420"/>
      </w:pPr>
      <w:rPr>
        <w:rFonts w:hint="default" w:cs="Times New Roman"/>
      </w:rPr>
    </w:lvl>
    <w:lvl w:ilvl="4" w:tentative="0">
      <w:start w:val="1"/>
      <w:numFmt w:val="lowerLetter"/>
      <w:lvlText w:val="%5."/>
      <w:lvlJc w:val="left"/>
      <w:pPr>
        <w:tabs>
          <w:tab w:val="left" w:pos="2100"/>
        </w:tabs>
        <w:ind w:left="2100" w:hanging="420"/>
      </w:pPr>
      <w:rPr>
        <w:rFonts w:hint="default" w:cs="Times New Roman"/>
      </w:rPr>
    </w:lvl>
    <w:lvl w:ilvl="5" w:tentative="0">
      <w:start w:val="1"/>
      <w:numFmt w:val="lowerLetter"/>
      <w:lvlText w:val="%6)"/>
      <w:lvlJc w:val="left"/>
      <w:pPr>
        <w:tabs>
          <w:tab w:val="left" w:pos="2520"/>
        </w:tabs>
        <w:ind w:left="2520" w:hanging="420"/>
      </w:pPr>
      <w:rPr>
        <w:rFonts w:hint="default" w:cs="Times New Roman"/>
      </w:rPr>
    </w:lvl>
    <w:lvl w:ilvl="6" w:tentative="0">
      <w:start w:val="1"/>
      <w:numFmt w:val="lowerRoman"/>
      <w:lvlText w:val="%7."/>
      <w:lvlJc w:val="left"/>
      <w:pPr>
        <w:tabs>
          <w:tab w:val="left" w:pos="2940"/>
        </w:tabs>
        <w:ind w:left="2940" w:hanging="420"/>
      </w:pPr>
      <w:rPr>
        <w:rFonts w:hint="default" w:cs="Times New Roman"/>
      </w:rPr>
    </w:lvl>
    <w:lvl w:ilvl="7" w:tentative="0">
      <w:start w:val="1"/>
      <w:numFmt w:val="lowerRoman"/>
      <w:lvlText w:val="%8)"/>
      <w:lvlJc w:val="left"/>
      <w:pPr>
        <w:tabs>
          <w:tab w:val="left" w:pos="3360"/>
        </w:tabs>
        <w:ind w:left="3360" w:hanging="420"/>
      </w:pPr>
      <w:rPr>
        <w:rFonts w:hint="default" w:cs="Times New Roman"/>
      </w:rPr>
    </w:lvl>
    <w:lvl w:ilvl="8" w:tentative="0">
      <w:start w:val="1"/>
      <w:numFmt w:val="lowerLetter"/>
      <w:lvlText w:val="%9."/>
      <w:lvlJc w:val="left"/>
      <w:pPr>
        <w:tabs>
          <w:tab w:val="left" w:pos="3780"/>
        </w:tabs>
        <w:ind w:left="3780" w:hanging="420"/>
      </w:pPr>
      <w:rPr>
        <w:rFonts w:hint="default" w:cs="Times New Roman"/>
      </w:rPr>
    </w:lvl>
  </w:abstractNum>
  <w:abstractNum w:abstractNumId="1">
    <w:nsid w:val="06791202"/>
    <w:multiLevelType w:val="multilevel"/>
    <w:tmpl w:val="06791202"/>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7252337"/>
    <w:multiLevelType w:val="singleLevel"/>
    <w:tmpl w:val="77252337"/>
    <w:lvl w:ilvl="0" w:tentative="0">
      <w:start w:val="3"/>
      <w:numFmt w:val="chineseCounting"/>
      <w:suff w:val="nothing"/>
      <w:lvlText w:val="（%1）"/>
      <w:lvlJc w:val="left"/>
      <w:rPr>
        <w:rFonts w:hint="eastAsia"/>
      </w:rPr>
    </w:lvl>
  </w:abstractNum>
  <w:abstractNum w:abstractNumId="3">
    <w:nsid w:val="7AD03DEC"/>
    <w:multiLevelType w:val="multilevel"/>
    <w:tmpl w:val="7AD03DE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F70DA"/>
    <w:rsid w:val="2A470D93"/>
    <w:rsid w:val="5F8F70DA"/>
    <w:rsid w:val="63860533"/>
    <w:rsid w:val="764F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Subtitle"/>
    <w:basedOn w:val="1"/>
    <w:next w:val="1"/>
    <w:link w:val="7"/>
    <w:qFormat/>
    <w:uiPriority w:val="99"/>
    <w:pPr>
      <w:spacing w:before="240" w:after="60" w:line="312" w:lineRule="auto"/>
      <w:jc w:val="center"/>
      <w:outlineLvl w:val="1"/>
    </w:pPr>
    <w:rPr>
      <w:rFonts w:ascii="Calibri Light" w:hAnsi="Calibri Light" w:cs="Times New Roman"/>
      <w:b/>
      <w:bCs/>
      <w:kern w:val="28"/>
      <w:sz w:val="32"/>
      <w:szCs w:val="32"/>
    </w:rPr>
  </w:style>
  <w:style w:type="paragraph" w:styleId="4">
    <w:name w:val="Normal (Web)"/>
    <w:basedOn w:val="1"/>
    <w:qFormat/>
    <w:uiPriority w:val="0"/>
    <w:rPr>
      <w:sz w:val="24"/>
    </w:rPr>
  </w:style>
  <w:style w:type="character" w:customStyle="1" w:styleId="7">
    <w:name w:val="副标题 Char"/>
    <w:basedOn w:val="6"/>
    <w:link w:val="3"/>
    <w:qFormat/>
    <w:locked/>
    <w:uiPriority w:val="99"/>
    <w:rPr>
      <w:rFonts w:ascii="Calibri Light" w:hAnsi="Calibri Light" w:cs="Times New Roman"/>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2021-05-07T00:55:00Z</dcterms:created>
  <dc:creator>Administrator</dc:creator>
  <cp:lastModifiedBy>Administrator</cp:lastModifiedBy>
  <dcterms:modified xsi:type="dcterms:W3CDTF">2021-06-16T02:31:17Z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0B09BFB7C2CE4A3A99BECAAAF430474A</vt:lpwstr>
  </property>
</Properties>
</file>