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AA3C3">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14:paraId="77C6AF5E">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14:paraId="722C21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14:paraId="177B077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w:t>
      </w:r>
      <w:r>
        <w:rPr>
          <w:rFonts w:hint="eastAsia" w:ascii="仿宋_GB2312" w:hAnsi="仿宋_GB2312" w:eastAsia="仿宋_GB2312" w:cs="仿宋_GB2312"/>
          <w:color w:val="000000"/>
          <w:sz w:val="32"/>
          <w:szCs w:val="32"/>
          <w:lang w:val="en-US" w:eastAsia="zh-CN"/>
        </w:rPr>
        <w:t>025</w:t>
      </w:r>
      <w:r>
        <w:rPr>
          <w:rFonts w:hint="eastAsia" w:ascii="仿宋_GB2312" w:hAnsi="仿宋_GB2312" w:eastAsia="仿宋_GB2312" w:cs="仿宋_GB2312"/>
          <w:color w:val="000000"/>
          <w:sz w:val="32"/>
          <w:szCs w:val="32"/>
        </w:rPr>
        <w:t>〕第</w:t>
      </w:r>
      <w:bookmarkStart w:id="1" w:name="_GoBack"/>
      <w:bookmarkEnd w:id="1"/>
      <w:r>
        <w:rPr>
          <w:rFonts w:hint="eastAsia" w:ascii="仿宋_GB2312" w:hAnsi="仿宋_GB2312" w:eastAsia="仿宋_GB2312" w:cs="仿宋_GB2312"/>
          <w:color w:val="000000"/>
          <w:sz w:val="32"/>
          <w:szCs w:val="32"/>
          <w:lang w:val="en-US" w:eastAsia="zh-CN"/>
        </w:rPr>
        <w:t>28-2</w:t>
      </w:r>
      <w:r>
        <w:rPr>
          <w:rFonts w:hint="eastAsia" w:ascii="仿宋_GB2312" w:hAnsi="仿宋_GB2312" w:eastAsia="仿宋_GB2312" w:cs="仿宋_GB2312"/>
          <w:color w:val="000000"/>
          <w:sz w:val="32"/>
          <w:szCs w:val="32"/>
        </w:rPr>
        <w:t>号</w:t>
      </w:r>
    </w:p>
    <w:p w14:paraId="6339708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14:paraId="3E720D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根据《中华人民共和国土地管理法》相关规定，结合本次被征收土地的现状调查以及社会稳定风险评估结果，现将征地补偿安置有关事宜公告如下：</w:t>
      </w:r>
    </w:p>
    <w:p w14:paraId="16D7D7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14878C6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p>
    <w:p w14:paraId="25458D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周至县尚村镇张屯村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拟征收土地面积13.1153公顷</w:t>
      </w:r>
      <w:r>
        <w:rPr>
          <w:rFonts w:hint="eastAsia" w:ascii="仿宋_GB2312" w:eastAsia="仿宋_GB2312"/>
          <w:sz w:val="32"/>
          <w:szCs w:val="32"/>
        </w:rPr>
        <w:t>。</w:t>
      </w:r>
    </w:p>
    <w:p w14:paraId="6409C6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14:paraId="719B48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14:paraId="4FC7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14:paraId="294CC0F8">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14:paraId="6E1DE598">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14:paraId="3D877A9B">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14:paraId="619D832C">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14:paraId="783A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14:paraId="59FBDD06">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14:paraId="09349ABD">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14:paraId="53EE8992">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14:paraId="37C2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14:paraId="6535F862">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尚村镇张屯村</w:t>
            </w:r>
          </w:p>
        </w:tc>
        <w:tc>
          <w:tcPr>
            <w:tcW w:w="2551" w:type="dxa"/>
            <w:vAlign w:val="center"/>
          </w:tcPr>
          <w:p w14:paraId="395DB5A7">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14:paraId="2EC87E40">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13.1153</w:t>
            </w:r>
          </w:p>
        </w:tc>
      </w:tr>
      <w:tr w14:paraId="19EE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58E3FE3E">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6A210A41">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14:paraId="490F09EC">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1D5E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3649568F">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51F6123D">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14:paraId="2E0E9CE9">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5833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14:paraId="63AE634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14:paraId="0C6584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13.1153</w:t>
            </w:r>
          </w:p>
        </w:tc>
      </w:tr>
    </w:tbl>
    <w:p w14:paraId="18505C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14:paraId="6128A8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281F0A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为工矿</w:t>
      </w:r>
      <w:r>
        <w:rPr>
          <w:rFonts w:hint="eastAsia" w:ascii="仿宋_GB2312" w:eastAsia="仿宋_GB2312"/>
          <w:sz w:val="32"/>
          <w:szCs w:val="32"/>
        </w:rPr>
        <w:t>用地</w:t>
      </w:r>
      <w:r>
        <w:rPr>
          <w:rFonts w:hint="eastAsia" w:ascii="仿宋_GB2312" w:eastAsia="仿宋_GB2312"/>
          <w:sz w:val="32"/>
          <w:szCs w:val="32"/>
          <w:lang w:eastAsia="zh-CN"/>
        </w:rPr>
        <w:t>、</w:t>
      </w:r>
      <w:r>
        <w:rPr>
          <w:rFonts w:hint="eastAsia" w:ascii="仿宋_GB2312" w:eastAsia="仿宋_GB2312"/>
          <w:sz w:val="32"/>
          <w:szCs w:val="32"/>
          <w:lang w:val="en-US" w:eastAsia="zh-CN"/>
        </w:rPr>
        <w:t>交通运输用地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14:paraId="16AA1F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1CA306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w:t>
      </w:r>
      <w:r>
        <w:rPr>
          <w:rFonts w:hint="eastAsia" w:ascii="仿宋_GB2312" w:eastAsia="仿宋_GB2312"/>
          <w:sz w:val="32"/>
          <w:szCs w:val="32"/>
          <w:lang w:val="en-US" w:eastAsia="zh-CN"/>
        </w:rPr>
        <w:t>重新</w:t>
      </w:r>
      <w:r>
        <w:rPr>
          <w:rFonts w:hint="eastAsia" w:ascii="仿宋_GB2312" w:eastAsia="仿宋_GB2312"/>
          <w:sz w:val="32"/>
          <w:szCs w:val="32"/>
        </w:rPr>
        <w:t>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号）和</w:t>
      </w:r>
      <w:r>
        <w:rPr>
          <w:rFonts w:hint="eastAsia" w:ascii="仿宋_GB2312" w:hAnsi="仿宋_GB2312" w:eastAsia="仿宋_GB2312" w:cs="仿宋_GB2312"/>
          <w:sz w:val="32"/>
          <w:szCs w:val="32"/>
        </w:rPr>
        <w:t>周至县人民政府《关于</w:t>
      </w:r>
      <w:r>
        <w:rPr>
          <w:rFonts w:hint="eastAsia" w:ascii="仿宋_GB2312" w:hAnsi="仿宋_GB2312" w:eastAsia="仿宋_GB2312" w:cs="仿宋_GB2312"/>
          <w:sz w:val="32"/>
          <w:szCs w:val="32"/>
          <w:lang w:val="en-US" w:eastAsia="zh-CN"/>
        </w:rPr>
        <w:t>重新</w:t>
      </w:r>
      <w:r>
        <w:rPr>
          <w:rFonts w:hint="eastAsia" w:ascii="仿宋_GB2312" w:hAnsi="仿宋_GB2312" w:eastAsia="仿宋_GB2312" w:cs="仿宋_GB2312"/>
          <w:sz w:val="32"/>
          <w:szCs w:val="32"/>
        </w:rPr>
        <w:t>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号）文件规定</w:t>
      </w:r>
      <w:r>
        <w:rPr>
          <w:rFonts w:hint="eastAsia" w:ascii="仿宋_GB2312" w:hAnsi="仿宋_GB2312" w:eastAsia="仿宋_GB2312" w:cs="仿宋_GB2312"/>
          <w:sz w:val="32"/>
          <w:szCs w:val="32"/>
          <w:lang w:eastAsia="zh-CN"/>
        </w:rPr>
        <w:t>。</w:t>
      </w:r>
    </w:p>
    <w:p w14:paraId="3C8C23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_GB2312"/>
          <w:sz w:val="32"/>
          <w:szCs w:val="32"/>
          <w:lang w:eastAsia="zh-CN"/>
        </w:rPr>
      </w:pPr>
      <w:r>
        <w:rPr>
          <w:rFonts w:hint="eastAsia" w:ascii="仿宋_GB2312" w:hAnsi="仿宋_GB2312" w:eastAsia="仿宋_GB2312" w:cs="仿宋_GB2312"/>
          <w:sz w:val="32"/>
          <w:szCs w:val="32"/>
        </w:rPr>
        <w:t>该项目拟征收集体土地</w:t>
      </w:r>
      <w:r>
        <w:rPr>
          <w:rFonts w:hint="eastAsia" w:ascii="仿宋_GB2312" w:hAnsi="仿宋_GB2312" w:eastAsia="仿宋_GB2312" w:cs="仿宋_GB2312"/>
          <w:sz w:val="32"/>
          <w:szCs w:val="32"/>
          <w:lang w:val="en-US" w:eastAsia="zh-CN"/>
        </w:rPr>
        <w:t>13.1153</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6FB70C7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14:paraId="7CEE9D3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14:paraId="39F640B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14:paraId="098F25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7B27AAB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至2025年9月11日间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14:paraId="39CE5E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5FA17EE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760F8CC8">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6A568559">
      <w:pPr>
        <w:spacing w:line="480" w:lineRule="exact"/>
        <w:ind w:firstLine="640" w:firstLineChars="200"/>
        <w:rPr>
          <w:rFonts w:ascii="仿宋_GB2312" w:hAnsi="仿宋" w:eastAsia="仿宋_GB2312"/>
          <w:sz w:val="32"/>
          <w:szCs w:val="32"/>
        </w:rPr>
      </w:pPr>
    </w:p>
    <w:p w14:paraId="1DC8AE16">
      <w:pPr>
        <w:spacing w:line="480" w:lineRule="exact"/>
        <w:ind w:firstLine="640" w:firstLineChars="200"/>
        <w:rPr>
          <w:rFonts w:ascii="仿宋_GB2312" w:hAnsi="仿宋" w:eastAsia="仿宋_GB2312"/>
          <w:sz w:val="32"/>
          <w:szCs w:val="32"/>
        </w:rPr>
      </w:pPr>
    </w:p>
    <w:p w14:paraId="6326F4C5">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14:paraId="1624E3C9">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14:paraId="37B9EF46">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95D4F3-CE01-41B2-B5E4-1F608CCCAB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DF05D03-CFC8-4389-85D9-E3E0E7234564}"/>
  </w:font>
  <w:font w:name="仿宋">
    <w:panose1 w:val="02010609060101010101"/>
    <w:charset w:val="86"/>
    <w:family w:val="modern"/>
    <w:pitch w:val="default"/>
    <w:sig w:usb0="800002BF" w:usb1="38CF7CFA" w:usb2="00000016" w:usb3="00000000" w:csb0="00040001" w:csb1="00000000"/>
    <w:embedRegular r:id="rId3" w:fontKey="{2650451C-8C06-47D9-9B44-983FBD25F85C}"/>
  </w:font>
  <w:font w:name="仿宋_GB2312">
    <w:panose1 w:val="02010609030101010101"/>
    <w:charset w:val="86"/>
    <w:family w:val="modern"/>
    <w:pitch w:val="default"/>
    <w:sig w:usb0="00000001" w:usb1="080E0000" w:usb2="00000000" w:usb3="00000000" w:csb0="00040000" w:csb1="00000000"/>
    <w:embedRegular r:id="rId4" w:fontKey="{8140ECE9-7BC4-4CCF-94D4-93B7269A4563}"/>
  </w:font>
  <w:font w:name="楷体">
    <w:panose1 w:val="02010609060101010101"/>
    <w:charset w:val="86"/>
    <w:family w:val="modern"/>
    <w:pitch w:val="default"/>
    <w:sig w:usb0="800002BF" w:usb1="38CF7CFA" w:usb2="00000016" w:usb3="00000000" w:csb0="00040001" w:csb1="00000000"/>
    <w:embedRegular r:id="rId5" w:fontKey="{7E93CAE2-868B-4CD5-8B55-004EF82AAFDE}"/>
  </w:font>
  <w:font w:name="楷体_GB2312">
    <w:panose1 w:val="02010609030101010101"/>
    <w:charset w:val="86"/>
    <w:family w:val="modern"/>
    <w:pitch w:val="default"/>
    <w:sig w:usb0="00000001" w:usb1="080E0000" w:usb2="00000000" w:usb3="00000000" w:csb0="00040000" w:csb1="00000000"/>
    <w:embedRegular r:id="rId6" w:fontKey="{8FAB5485-5F33-48ED-81E2-AABBE8D618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B120">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58218753"/>
                            <w:docPartObj>
                              <w:docPartGallery w:val="autotext"/>
                            </w:docPartObj>
                          </w:sdtPr>
                          <w:sdtEndPr>
                            <w:rPr>
                              <w:rFonts w:ascii="Times New Roman" w:hAnsi="Times New Roman" w:cs="Times New Roman"/>
                              <w:sz w:val="28"/>
                              <w:szCs w:val="28"/>
                            </w:rPr>
                          </w:sdtEndPr>
                          <w:sdtContent>
                            <w:p w14:paraId="5071735E">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41656017">
                          <w:pPr>
                            <w:rPr>
                              <w:rFonts w:ascii="Times New Roman" w:hAnsi="Times New Roman" w:cs="Times New Roman"/>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14:paraId="5071735E">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41656017">
                    <w:pPr>
                      <w:rPr>
                        <w:rFonts w:ascii="Times New Roman" w:hAnsi="Times New Roman" w:cs="Times New Roman"/>
                        <w:sz w:val="28"/>
                        <w:szCs w:val="28"/>
                      </w:rPr>
                    </w:pPr>
                  </w:p>
                </w:txbxContent>
              </v:textbox>
            </v:shape>
          </w:pict>
        </mc:Fallback>
      </mc:AlternateContent>
    </w:r>
  </w:p>
  <w:p w14:paraId="2F078242">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5236210</wp:posOffset>
              </wp:positionH>
              <wp:positionV relativeFrom="paragraph">
                <wp:posOffset>-83820</wp:posOffset>
              </wp:positionV>
              <wp:extent cx="379730" cy="49276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79730" cy="492760"/>
                      </a:xfrm>
                      <a:prstGeom prst="rect">
                        <a:avLst/>
                      </a:prstGeom>
                      <a:noFill/>
                      <a:ln>
                        <a:noFill/>
                      </a:ln>
                    </wps:spPr>
                    <wps:txbx>
                      <w:txbxContent>
                        <w:p w14:paraId="4DBC8E52">
                          <w:pPr>
                            <w:pStyle w:val="4"/>
                            <w:jc w:val="center"/>
                            <w:rPr>
                              <w:rFonts w:ascii="Times New Roman" w:hAnsi="Times New Roman" w:cs="Times New Roman"/>
                              <w:sz w:val="28"/>
                              <w:szCs w:val="28"/>
                            </w:rPr>
                          </w:pPr>
                        </w:p>
                        <w:p w14:paraId="336C5536">
                          <w:pPr>
                            <w:rPr>
                              <w:rFonts w:ascii="Times New Roman" w:hAnsi="Times New Roman" w:cs="Times New Roman"/>
                              <w:sz w:val="28"/>
                              <w:szCs w:val="28"/>
                            </w:rPr>
                          </w:pPr>
                        </w:p>
                      </w:txbxContent>
                    </wps:txbx>
                    <wps:bodyPr lIns="0" tIns="0" rIns="0" bIns="0" upright="0"/>
                  </wps:wsp>
                </a:graphicData>
              </a:graphic>
            </wp:anchor>
          </w:drawing>
        </mc:Choice>
        <mc:Fallback>
          <w:pict>
            <v:shape id="文本框 1026" o:spid="_x0000_s1026" o:spt="202" type="#_x0000_t202" style="position:absolute;left:0pt;margin-left:412.3pt;margin-top:-6.6pt;height:38.8pt;width:29.9pt;mso-position-horizontal-relative:margin;z-index:251659264;mso-width-relative:page;mso-height-relative:page;" filled="f" stroked="f" coordsize="21600,21600" o:gfxdata="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Fiq42QAAAAoBAAAPAAAAAAAAAAEAIAAAACIAAABkcnMvZG93bnJldi54bWxQ&#10;SwECFAAUAAAACACHTuJACUbhUL0BAAB0AwAADgAAAAAAAAABACAAAAAoAQAAZHJzL2Uyb0RvYy54&#10;bWxQSwUGAAAAAAYABgBZAQAAVwUAAAAA&#10;">
              <v:fill on="f" focussize="0,0"/>
              <v:stroke on="f"/>
              <v:imagedata o:title=""/>
              <o:lock v:ext="edit" aspectratio="f"/>
              <v:textbox inset="0mm,0mm,0mm,0mm">
                <w:txbxContent>
                  <w:p w14:paraId="4DBC8E52">
                    <w:pPr>
                      <w:pStyle w:val="4"/>
                      <w:jc w:val="center"/>
                      <w:rPr>
                        <w:rFonts w:ascii="Times New Roman" w:hAnsi="Times New Roman" w:cs="Times New Roman"/>
                        <w:sz w:val="28"/>
                        <w:szCs w:val="28"/>
                      </w:rPr>
                    </w:pPr>
                  </w:p>
                  <w:p w14:paraId="336C5536">
                    <w:pPr>
                      <w:rPr>
                        <w:rFonts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40300C"/>
    <w:rsid w:val="09522E35"/>
    <w:rsid w:val="14E95918"/>
    <w:rsid w:val="159272EB"/>
    <w:rsid w:val="17101620"/>
    <w:rsid w:val="175E3498"/>
    <w:rsid w:val="183735A3"/>
    <w:rsid w:val="18515299"/>
    <w:rsid w:val="1AFA4ED6"/>
    <w:rsid w:val="1EAF70C3"/>
    <w:rsid w:val="282402D9"/>
    <w:rsid w:val="28E40532"/>
    <w:rsid w:val="30A52729"/>
    <w:rsid w:val="343F112B"/>
    <w:rsid w:val="3577042C"/>
    <w:rsid w:val="39370B4E"/>
    <w:rsid w:val="3E090EF4"/>
    <w:rsid w:val="42D2661E"/>
    <w:rsid w:val="44D72D20"/>
    <w:rsid w:val="44F43C03"/>
    <w:rsid w:val="4D48652A"/>
    <w:rsid w:val="4F9D2355"/>
    <w:rsid w:val="4FCE2CF5"/>
    <w:rsid w:val="506C1FA7"/>
    <w:rsid w:val="56A532FF"/>
    <w:rsid w:val="56C81C62"/>
    <w:rsid w:val="5C535567"/>
    <w:rsid w:val="5EFC0414"/>
    <w:rsid w:val="613B4ADC"/>
    <w:rsid w:val="61D62CA2"/>
    <w:rsid w:val="64DB5401"/>
    <w:rsid w:val="6CCB2B49"/>
    <w:rsid w:val="6F8D5D67"/>
    <w:rsid w:val="6FE12D34"/>
    <w:rsid w:val="7147784E"/>
    <w:rsid w:val="73E3796C"/>
    <w:rsid w:val="7A427982"/>
    <w:rsid w:val="7CDB3EBC"/>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565</Words>
  <Characters>610</Characters>
  <Lines>7</Lines>
  <Paragraphs>2</Paragraphs>
  <TotalTime>2</TotalTime>
  <ScaleCrop>false</ScaleCrop>
  <LinksUpToDate>false</LinksUpToDate>
  <CharactersWithSpaces>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愛殇璃</cp:lastModifiedBy>
  <cp:lastPrinted>2025-08-13T01:15:00Z</cp:lastPrinted>
  <dcterms:modified xsi:type="dcterms:W3CDTF">2025-08-13T08:38:59Z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EAEE15B8032645BA84A2A37F0E3B3DA2_13</vt:lpwstr>
  </property>
  <property fmtid="{D5CDD505-2E9C-101B-9397-08002B2CF9AE}" pid="4" name="KSOTemplateDocerSaveRecord">
    <vt:lpwstr>eyJoZGlkIjoiOWNiOTliNWU4ZmZhYTdiMjY3NTM1MDcxZjk0ZmQ3MWEiLCJ1c2VySWQiOiIxMDAzODkwOTA5In0=</vt:lpwstr>
  </property>
</Properties>
</file>