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2C81AD">
      <w:pPr>
        <w:spacing w:line="680" w:lineRule="exact"/>
        <w:jc w:val="center"/>
        <w:rPr>
          <w:rFonts w:ascii="方正小标宋简体" w:hAnsi="仿宋" w:eastAsia="方正小标宋简体"/>
          <w:color w:val="000000" w:themeColor="text1"/>
          <w:spacing w:val="60"/>
          <w:sz w:val="44"/>
          <w:szCs w:val="44"/>
        </w:rPr>
      </w:pPr>
      <w:bookmarkStart w:id="0" w:name="_Hlk34214031"/>
      <w:r>
        <w:rPr>
          <w:rFonts w:hint="eastAsia" w:ascii="方正小标宋简体" w:hAnsi="仿宋" w:eastAsia="方正小标宋简体"/>
          <w:color w:val="000000" w:themeColor="text1"/>
          <w:spacing w:val="60"/>
          <w:sz w:val="44"/>
          <w:szCs w:val="44"/>
        </w:rPr>
        <w:t>周至县人民政府</w:t>
      </w:r>
    </w:p>
    <w:p w14:paraId="6D07FEB3">
      <w:pPr>
        <w:spacing w:line="680" w:lineRule="exact"/>
        <w:jc w:val="center"/>
        <w:rPr>
          <w:rFonts w:ascii="方正小标宋简体" w:hAnsi="仿宋" w:eastAsia="方正小标宋简体"/>
          <w:color w:val="000000" w:themeColor="text1"/>
          <w:spacing w:val="60"/>
          <w:sz w:val="44"/>
          <w:szCs w:val="44"/>
        </w:rPr>
      </w:pPr>
      <w:r>
        <w:rPr>
          <w:rFonts w:hint="eastAsia" w:ascii="方正小标宋简体" w:hAnsi="仿宋" w:eastAsia="方正小标宋简体"/>
          <w:color w:val="000000" w:themeColor="text1"/>
          <w:spacing w:val="60"/>
          <w:sz w:val="44"/>
          <w:szCs w:val="44"/>
        </w:rPr>
        <w:t>征地补偿安置公告</w:t>
      </w:r>
      <w:bookmarkEnd w:id="0"/>
    </w:p>
    <w:p w14:paraId="26798DD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 w:eastAsia="仿宋_GB2312"/>
          <w:color w:val="000000"/>
          <w:sz w:val="32"/>
          <w:szCs w:val="32"/>
        </w:rPr>
      </w:pPr>
    </w:p>
    <w:p w14:paraId="0544BBB0">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周征</w:t>
      </w:r>
      <w:r>
        <w:rPr>
          <w:rFonts w:hint="eastAsia" w:ascii="仿宋_GB2312" w:hAnsi="仿宋_GB2312" w:eastAsia="仿宋_GB2312" w:cs="仿宋_GB2312"/>
          <w:color w:val="000000"/>
          <w:sz w:val="32"/>
          <w:szCs w:val="32"/>
          <w:lang w:val="en-US" w:eastAsia="zh-CN"/>
        </w:rPr>
        <w:t>补</w:t>
      </w:r>
      <w:r>
        <w:rPr>
          <w:rFonts w:hint="eastAsia" w:ascii="仿宋_GB2312" w:hAnsi="仿宋_GB2312" w:eastAsia="仿宋_GB2312" w:cs="仿宋_GB2312"/>
          <w:color w:val="000000"/>
          <w:sz w:val="32"/>
          <w:szCs w:val="32"/>
        </w:rPr>
        <w:t>告字〔202</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〕第</w:t>
      </w:r>
      <w:r>
        <w:rPr>
          <w:rFonts w:hint="eastAsia" w:ascii="仿宋_GB2312" w:hAnsi="仿宋_GB2312" w:eastAsia="仿宋_GB2312" w:cs="仿宋_GB2312"/>
          <w:color w:val="000000"/>
          <w:sz w:val="32"/>
          <w:szCs w:val="32"/>
          <w:lang w:val="en-US" w:eastAsia="zh-CN"/>
        </w:rPr>
        <w:t>28-1</w:t>
      </w:r>
      <w:r>
        <w:rPr>
          <w:rFonts w:hint="eastAsia" w:ascii="仿宋_GB2312" w:hAnsi="仿宋_GB2312" w:eastAsia="仿宋_GB2312" w:cs="仿宋_GB2312"/>
          <w:color w:val="000000"/>
          <w:sz w:val="32"/>
          <w:szCs w:val="32"/>
        </w:rPr>
        <w:t>号</w:t>
      </w:r>
    </w:p>
    <w:p w14:paraId="406D6F32">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仿宋_GB2312" w:hAnsi="仿宋" w:eastAsia="仿宋_GB2312"/>
          <w:color w:val="000000"/>
          <w:sz w:val="32"/>
          <w:szCs w:val="32"/>
        </w:rPr>
      </w:pPr>
    </w:p>
    <w:p w14:paraId="4E1F5E97">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根据《中华人民共和国土地管理法》相关规定，结合本次被征收土地的现状调查以及社会稳定风险评估</w:t>
      </w:r>
      <w:bookmarkStart w:id="1" w:name="_GoBack"/>
      <w:bookmarkEnd w:id="1"/>
      <w:r>
        <w:rPr>
          <w:rFonts w:hint="eastAsia" w:ascii="仿宋_GB2312" w:eastAsia="仿宋_GB2312"/>
          <w:sz w:val="32"/>
          <w:szCs w:val="32"/>
          <w:lang w:val="en-US" w:eastAsia="zh-CN"/>
        </w:rPr>
        <w:t>结果，现将征地补偿安置有关事宜公告如下：</w:t>
      </w:r>
    </w:p>
    <w:p w14:paraId="04FC27EB">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ascii="黑体" w:hAnsi="黑体" w:eastAsia="黑体"/>
          <w:sz w:val="32"/>
          <w:szCs w:val="32"/>
        </w:rPr>
      </w:pPr>
      <w:r>
        <w:rPr>
          <w:rFonts w:hint="eastAsia" w:ascii="黑体" w:hAnsi="黑体" w:eastAsia="黑体"/>
          <w:sz w:val="32"/>
          <w:szCs w:val="32"/>
        </w:rPr>
        <w:t>一</w:t>
      </w:r>
      <w:r>
        <w:rPr>
          <w:rFonts w:ascii="黑体" w:hAnsi="黑体" w:eastAsia="黑体"/>
          <w:sz w:val="32"/>
          <w:szCs w:val="32"/>
        </w:rPr>
        <w:t>、征收土地范围及现状</w:t>
      </w:r>
    </w:p>
    <w:p w14:paraId="134BCD80">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ascii="楷体" w:hAnsi="楷体" w:eastAsia="楷体"/>
          <w:bCs/>
          <w:sz w:val="32"/>
          <w:szCs w:val="32"/>
        </w:rPr>
      </w:pPr>
      <w:r>
        <w:rPr>
          <w:rFonts w:hint="eastAsia" w:ascii="楷体_GB2312" w:hAnsi="仿宋" w:eastAsia="楷体_GB2312"/>
          <w:bCs/>
          <w:sz w:val="32"/>
          <w:szCs w:val="32"/>
        </w:rPr>
        <w:t>（</w:t>
      </w:r>
      <w:r>
        <w:rPr>
          <w:rFonts w:hint="eastAsia" w:ascii="楷体" w:hAnsi="楷体" w:eastAsia="楷体"/>
          <w:bCs/>
          <w:sz w:val="32"/>
          <w:szCs w:val="32"/>
        </w:rPr>
        <w:t>一）拟征收土地范围</w:t>
      </w:r>
    </w:p>
    <w:p w14:paraId="2B0C3CE0">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eastAsia="仿宋_GB2312"/>
          <w:sz w:val="32"/>
          <w:szCs w:val="32"/>
        </w:rPr>
      </w:pPr>
      <w:r>
        <w:rPr>
          <w:rFonts w:hint="eastAsia" w:ascii="仿宋_GB2312" w:eastAsia="仿宋_GB2312"/>
          <w:sz w:val="32"/>
          <w:szCs w:val="32"/>
        </w:rPr>
        <w:t>本次拟征收土地</w:t>
      </w:r>
      <w:r>
        <w:rPr>
          <w:rFonts w:hint="eastAsia" w:ascii="仿宋_GB2312" w:eastAsia="仿宋_GB2312"/>
          <w:sz w:val="32"/>
          <w:szCs w:val="32"/>
          <w:lang w:val="en-US" w:eastAsia="zh-CN"/>
        </w:rPr>
        <w:t>周至县尚村镇西岩村</w:t>
      </w:r>
      <w:r>
        <w:rPr>
          <w:rFonts w:hint="eastAsia" w:ascii="仿宋_GB2312" w:eastAsia="仿宋_GB2312"/>
          <w:sz w:val="32"/>
          <w:szCs w:val="32"/>
        </w:rPr>
        <w:t>范围内</w:t>
      </w:r>
      <w:r>
        <w:rPr>
          <w:rFonts w:hint="eastAsia" w:ascii="仿宋_GB2312" w:eastAsia="仿宋_GB2312"/>
          <w:sz w:val="32"/>
          <w:szCs w:val="32"/>
          <w:lang w:eastAsia="zh-CN"/>
        </w:rPr>
        <w:t>，</w:t>
      </w:r>
      <w:r>
        <w:rPr>
          <w:rFonts w:hint="eastAsia" w:ascii="仿宋_GB2312" w:eastAsia="仿宋_GB2312"/>
          <w:sz w:val="32"/>
          <w:szCs w:val="32"/>
          <w:lang w:val="en-US" w:eastAsia="zh-CN"/>
        </w:rPr>
        <w:t>拟征收土地面积7.2869公顷</w:t>
      </w:r>
      <w:r>
        <w:rPr>
          <w:rFonts w:hint="eastAsia" w:ascii="仿宋_GB2312" w:eastAsia="仿宋_GB2312"/>
          <w:sz w:val="32"/>
          <w:szCs w:val="32"/>
        </w:rPr>
        <w:t>。</w:t>
      </w:r>
    </w:p>
    <w:p w14:paraId="5F8968FE">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ascii="楷体" w:hAnsi="楷体" w:eastAsia="楷体"/>
          <w:bCs/>
          <w:sz w:val="32"/>
          <w:szCs w:val="32"/>
        </w:rPr>
      </w:pPr>
      <w:r>
        <w:rPr>
          <w:rFonts w:hint="eastAsia" w:ascii="楷体_GB2312" w:hAnsi="仿宋" w:eastAsia="楷体_GB2312"/>
          <w:bCs/>
          <w:sz w:val="32"/>
          <w:szCs w:val="32"/>
        </w:rPr>
        <w:t>（</w:t>
      </w:r>
      <w:r>
        <w:rPr>
          <w:rFonts w:hint="eastAsia" w:ascii="楷体" w:hAnsi="楷体" w:eastAsia="楷体"/>
          <w:bCs/>
          <w:sz w:val="32"/>
          <w:szCs w:val="32"/>
        </w:rPr>
        <w:t>二）拟征收土地现状</w:t>
      </w:r>
    </w:p>
    <w:p w14:paraId="1541A67A">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本次拟征收土地的权属、地类、面积如下：</w:t>
      </w:r>
    </w:p>
    <w:tbl>
      <w:tblPr>
        <w:tblStyle w:val="6"/>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2551"/>
        <w:gridCol w:w="3827"/>
      </w:tblGrid>
      <w:tr w14:paraId="4C088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235" w:type="dxa"/>
            <w:vMerge w:val="restart"/>
            <w:vAlign w:val="center"/>
          </w:tcPr>
          <w:p w14:paraId="67A09F53">
            <w:pPr>
              <w:keepNext w:val="0"/>
              <w:keepLines w:val="0"/>
              <w:pageBreakBefore w:val="0"/>
              <w:widowControl w:val="0"/>
              <w:tabs>
                <w:tab w:val="left" w:pos="465"/>
              </w:tabs>
              <w:kinsoku/>
              <w:wordWrap/>
              <w:overflowPunct/>
              <w:topLinePunct w:val="0"/>
              <w:autoSpaceDE/>
              <w:autoSpaceDN/>
              <w:bidi w:val="0"/>
              <w:adjustRightInd/>
              <w:snapToGrid/>
              <w:spacing w:line="540" w:lineRule="exact"/>
              <w:jc w:val="center"/>
              <w:textAlignment w:val="auto"/>
              <w:rPr>
                <w:rFonts w:ascii="仿宋_GB2312" w:eastAsia="仿宋_GB2312"/>
                <w:sz w:val="24"/>
              </w:rPr>
            </w:pPr>
            <w:r>
              <w:rPr>
                <w:rFonts w:hint="eastAsia" w:ascii="仿宋_GB2312" w:eastAsia="仿宋_GB2312"/>
                <w:sz w:val="24"/>
              </w:rPr>
              <w:t>权属</w:t>
            </w:r>
          </w:p>
          <w:p w14:paraId="2B52C0E7">
            <w:pPr>
              <w:keepNext w:val="0"/>
              <w:keepLines w:val="0"/>
              <w:pageBreakBefore w:val="0"/>
              <w:widowControl w:val="0"/>
              <w:tabs>
                <w:tab w:val="left" w:pos="465"/>
              </w:tabs>
              <w:kinsoku/>
              <w:wordWrap/>
              <w:overflowPunct/>
              <w:topLinePunct w:val="0"/>
              <w:autoSpaceDE/>
              <w:autoSpaceDN/>
              <w:bidi w:val="0"/>
              <w:adjustRightInd/>
              <w:snapToGrid/>
              <w:spacing w:line="540" w:lineRule="exact"/>
              <w:jc w:val="center"/>
              <w:textAlignment w:val="auto"/>
              <w:rPr>
                <w:rFonts w:ascii="仿宋_GB2312" w:eastAsia="仿宋_GB2312"/>
                <w:sz w:val="24"/>
              </w:rPr>
            </w:pPr>
            <w:r>
              <w:rPr>
                <w:rFonts w:hint="eastAsia" w:ascii="仿宋_GB2312" w:eastAsia="仿宋_GB2312"/>
                <w:sz w:val="24"/>
              </w:rPr>
              <w:t>（以勘界为准）</w:t>
            </w:r>
          </w:p>
        </w:tc>
        <w:tc>
          <w:tcPr>
            <w:tcW w:w="2551" w:type="dxa"/>
            <w:vMerge w:val="restart"/>
            <w:vAlign w:val="center"/>
          </w:tcPr>
          <w:p w14:paraId="40075407">
            <w:pPr>
              <w:keepNext w:val="0"/>
              <w:keepLines w:val="0"/>
              <w:pageBreakBefore w:val="0"/>
              <w:widowControl w:val="0"/>
              <w:tabs>
                <w:tab w:val="left" w:pos="465"/>
              </w:tabs>
              <w:kinsoku/>
              <w:wordWrap/>
              <w:overflowPunct/>
              <w:topLinePunct w:val="0"/>
              <w:autoSpaceDE/>
              <w:autoSpaceDN/>
              <w:bidi w:val="0"/>
              <w:adjustRightInd/>
              <w:snapToGrid/>
              <w:spacing w:line="540" w:lineRule="exact"/>
              <w:jc w:val="center"/>
              <w:textAlignment w:val="auto"/>
              <w:rPr>
                <w:rFonts w:ascii="仿宋_GB2312" w:eastAsia="仿宋_GB2312"/>
                <w:sz w:val="24"/>
              </w:rPr>
            </w:pPr>
            <w:r>
              <w:rPr>
                <w:rFonts w:hint="eastAsia" w:ascii="仿宋_GB2312" w:eastAsia="仿宋_GB2312"/>
                <w:sz w:val="24"/>
              </w:rPr>
              <w:t>地类名称</w:t>
            </w:r>
          </w:p>
        </w:tc>
        <w:tc>
          <w:tcPr>
            <w:tcW w:w="3827" w:type="dxa"/>
            <w:vMerge w:val="restart"/>
            <w:vAlign w:val="center"/>
          </w:tcPr>
          <w:p w14:paraId="26FAC0C2">
            <w:pPr>
              <w:keepNext w:val="0"/>
              <w:keepLines w:val="0"/>
              <w:pageBreakBefore w:val="0"/>
              <w:widowControl w:val="0"/>
              <w:tabs>
                <w:tab w:val="left" w:pos="465"/>
              </w:tabs>
              <w:kinsoku/>
              <w:wordWrap/>
              <w:overflowPunct/>
              <w:topLinePunct w:val="0"/>
              <w:autoSpaceDE/>
              <w:autoSpaceDN/>
              <w:bidi w:val="0"/>
              <w:adjustRightInd/>
              <w:snapToGrid/>
              <w:spacing w:line="540" w:lineRule="exact"/>
              <w:jc w:val="center"/>
              <w:textAlignment w:val="auto"/>
              <w:rPr>
                <w:rFonts w:ascii="仿宋_GB2312" w:eastAsia="仿宋_GB2312"/>
                <w:sz w:val="24"/>
              </w:rPr>
            </w:pPr>
            <w:r>
              <w:rPr>
                <w:rFonts w:hint="eastAsia" w:ascii="仿宋_GB2312" w:eastAsia="仿宋_GB2312"/>
                <w:sz w:val="24"/>
              </w:rPr>
              <w:t>面积（公顷）</w:t>
            </w:r>
          </w:p>
        </w:tc>
      </w:tr>
      <w:tr w14:paraId="5E930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235" w:type="dxa"/>
            <w:vMerge w:val="continue"/>
            <w:vAlign w:val="center"/>
          </w:tcPr>
          <w:p w14:paraId="6E6A1E5E">
            <w:pPr>
              <w:keepNext w:val="0"/>
              <w:keepLines w:val="0"/>
              <w:pageBreakBefore w:val="0"/>
              <w:widowControl w:val="0"/>
              <w:tabs>
                <w:tab w:val="left" w:pos="465"/>
              </w:tabs>
              <w:kinsoku/>
              <w:wordWrap/>
              <w:overflowPunct/>
              <w:topLinePunct w:val="0"/>
              <w:autoSpaceDE/>
              <w:autoSpaceDN/>
              <w:bidi w:val="0"/>
              <w:adjustRightInd/>
              <w:snapToGrid/>
              <w:spacing w:line="540" w:lineRule="exact"/>
              <w:jc w:val="center"/>
              <w:textAlignment w:val="auto"/>
              <w:rPr>
                <w:rFonts w:ascii="仿宋_GB2312" w:eastAsia="仿宋_GB2312"/>
                <w:sz w:val="24"/>
              </w:rPr>
            </w:pPr>
          </w:p>
        </w:tc>
        <w:tc>
          <w:tcPr>
            <w:tcW w:w="2551" w:type="dxa"/>
            <w:vMerge w:val="continue"/>
            <w:vAlign w:val="center"/>
          </w:tcPr>
          <w:p w14:paraId="7F8C2E67">
            <w:pPr>
              <w:keepNext w:val="0"/>
              <w:keepLines w:val="0"/>
              <w:pageBreakBefore w:val="0"/>
              <w:widowControl w:val="0"/>
              <w:tabs>
                <w:tab w:val="left" w:pos="465"/>
              </w:tabs>
              <w:kinsoku/>
              <w:wordWrap/>
              <w:overflowPunct/>
              <w:topLinePunct w:val="0"/>
              <w:autoSpaceDE/>
              <w:autoSpaceDN/>
              <w:bidi w:val="0"/>
              <w:adjustRightInd/>
              <w:snapToGrid/>
              <w:spacing w:line="540" w:lineRule="exact"/>
              <w:jc w:val="center"/>
              <w:textAlignment w:val="auto"/>
              <w:rPr>
                <w:rFonts w:ascii="仿宋_GB2312" w:eastAsia="仿宋_GB2312"/>
                <w:sz w:val="24"/>
              </w:rPr>
            </w:pPr>
          </w:p>
        </w:tc>
        <w:tc>
          <w:tcPr>
            <w:tcW w:w="3827" w:type="dxa"/>
            <w:vMerge w:val="continue"/>
            <w:vAlign w:val="center"/>
          </w:tcPr>
          <w:p w14:paraId="704A1A99">
            <w:pPr>
              <w:keepNext w:val="0"/>
              <w:keepLines w:val="0"/>
              <w:pageBreakBefore w:val="0"/>
              <w:widowControl w:val="0"/>
              <w:tabs>
                <w:tab w:val="left" w:pos="465"/>
              </w:tabs>
              <w:kinsoku/>
              <w:wordWrap/>
              <w:overflowPunct/>
              <w:topLinePunct w:val="0"/>
              <w:autoSpaceDE/>
              <w:autoSpaceDN/>
              <w:bidi w:val="0"/>
              <w:adjustRightInd/>
              <w:snapToGrid/>
              <w:spacing w:line="540" w:lineRule="exact"/>
              <w:jc w:val="center"/>
              <w:textAlignment w:val="auto"/>
              <w:rPr>
                <w:rFonts w:ascii="仿宋_GB2312" w:eastAsia="仿宋_GB2312"/>
                <w:sz w:val="24"/>
              </w:rPr>
            </w:pPr>
          </w:p>
        </w:tc>
      </w:tr>
      <w:tr w14:paraId="3E51C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235" w:type="dxa"/>
            <w:vMerge w:val="restart"/>
            <w:vAlign w:val="center"/>
          </w:tcPr>
          <w:p w14:paraId="002D47C8">
            <w:pPr>
              <w:keepNext w:val="0"/>
              <w:keepLines w:val="0"/>
              <w:pageBreakBefore w:val="0"/>
              <w:widowControl w:val="0"/>
              <w:tabs>
                <w:tab w:val="left" w:pos="465"/>
              </w:tabs>
              <w:kinsoku/>
              <w:wordWrap/>
              <w:overflowPunct/>
              <w:topLinePunct w:val="0"/>
              <w:autoSpaceDE/>
              <w:autoSpaceDN/>
              <w:bidi w:val="0"/>
              <w:adjustRightInd/>
              <w:snapToGrid/>
              <w:spacing w:line="540" w:lineRule="exact"/>
              <w:jc w:val="center"/>
              <w:textAlignment w:val="auto"/>
              <w:rPr>
                <w:rFonts w:hint="default" w:ascii="仿宋_GB2312" w:eastAsia="仿宋_GB2312"/>
                <w:sz w:val="24"/>
                <w:lang w:val="en-US" w:eastAsia="zh-CN"/>
              </w:rPr>
            </w:pPr>
            <w:r>
              <w:rPr>
                <w:rFonts w:hint="eastAsia" w:ascii="仿宋_GB2312" w:eastAsia="仿宋_GB2312"/>
                <w:sz w:val="24"/>
                <w:lang w:val="en-US" w:eastAsia="zh-CN"/>
              </w:rPr>
              <w:t>尚村镇西岩村</w:t>
            </w:r>
          </w:p>
        </w:tc>
        <w:tc>
          <w:tcPr>
            <w:tcW w:w="2551" w:type="dxa"/>
            <w:vAlign w:val="center"/>
          </w:tcPr>
          <w:p w14:paraId="57779D74">
            <w:pPr>
              <w:keepNext w:val="0"/>
              <w:keepLines w:val="0"/>
              <w:pageBreakBefore w:val="0"/>
              <w:widowControl w:val="0"/>
              <w:tabs>
                <w:tab w:val="left" w:pos="465"/>
              </w:tabs>
              <w:kinsoku/>
              <w:wordWrap/>
              <w:overflowPunct/>
              <w:topLinePunct w:val="0"/>
              <w:autoSpaceDE/>
              <w:autoSpaceDN/>
              <w:bidi w:val="0"/>
              <w:adjustRightInd/>
              <w:snapToGrid/>
              <w:spacing w:line="540" w:lineRule="exact"/>
              <w:jc w:val="center"/>
              <w:textAlignment w:val="auto"/>
              <w:rPr>
                <w:rFonts w:ascii="仿宋_GB2312" w:eastAsia="仿宋_GB2312"/>
                <w:sz w:val="24"/>
              </w:rPr>
            </w:pPr>
            <w:r>
              <w:rPr>
                <w:rFonts w:hint="eastAsia" w:ascii="仿宋_GB2312" w:eastAsia="仿宋_GB2312"/>
                <w:sz w:val="24"/>
                <w:lang w:val="en-US" w:eastAsia="zh-CN"/>
              </w:rPr>
              <w:t>农用</w:t>
            </w:r>
            <w:r>
              <w:rPr>
                <w:rFonts w:hint="eastAsia" w:ascii="仿宋_GB2312" w:eastAsia="仿宋_GB2312"/>
                <w:sz w:val="24"/>
              </w:rPr>
              <w:t>地</w:t>
            </w:r>
          </w:p>
        </w:tc>
        <w:tc>
          <w:tcPr>
            <w:tcW w:w="3827" w:type="dxa"/>
            <w:vAlign w:val="center"/>
          </w:tcPr>
          <w:p w14:paraId="388A96FE">
            <w:pPr>
              <w:keepNext w:val="0"/>
              <w:keepLines w:val="0"/>
              <w:pageBreakBefore w:val="0"/>
              <w:widowControl w:val="0"/>
              <w:tabs>
                <w:tab w:val="left" w:pos="465"/>
              </w:tabs>
              <w:kinsoku/>
              <w:wordWrap/>
              <w:overflowPunct/>
              <w:topLinePunct w:val="0"/>
              <w:autoSpaceDE/>
              <w:autoSpaceDN/>
              <w:bidi w:val="0"/>
              <w:adjustRightInd/>
              <w:snapToGrid/>
              <w:spacing w:line="540" w:lineRule="exact"/>
              <w:jc w:val="center"/>
              <w:textAlignment w:val="auto"/>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7.2869</w:t>
            </w:r>
          </w:p>
        </w:tc>
      </w:tr>
      <w:tr w14:paraId="2337C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235" w:type="dxa"/>
            <w:vMerge w:val="continue"/>
            <w:vAlign w:val="center"/>
          </w:tcPr>
          <w:p w14:paraId="0F9A2438">
            <w:pPr>
              <w:keepNext w:val="0"/>
              <w:keepLines w:val="0"/>
              <w:pageBreakBefore w:val="0"/>
              <w:widowControl w:val="0"/>
              <w:tabs>
                <w:tab w:val="left" w:pos="465"/>
              </w:tabs>
              <w:kinsoku/>
              <w:wordWrap/>
              <w:overflowPunct/>
              <w:topLinePunct w:val="0"/>
              <w:autoSpaceDE/>
              <w:autoSpaceDN/>
              <w:bidi w:val="0"/>
              <w:adjustRightInd/>
              <w:snapToGrid/>
              <w:spacing w:line="540" w:lineRule="exact"/>
              <w:jc w:val="center"/>
              <w:textAlignment w:val="auto"/>
              <w:rPr>
                <w:rFonts w:ascii="仿宋_GB2312" w:eastAsia="仿宋_GB2312"/>
                <w:sz w:val="24"/>
              </w:rPr>
            </w:pPr>
          </w:p>
        </w:tc>
        <w:tc>
          <w:tcPr>
            <w:tcW w:w="2551" w:type="dxa"/>
            <w:vAlign w:val="center"/>
          </w:tcPr>
          <w:p w14:paraId="2C77B366">
            <w:pPr>
              <w:keepNext w:val="0"/>
              <w:keepLines w:val="0"/>
              <w:pageBreakBefore w:val="0"/>
              <w:widowControl w:val="0"/>
              <w:tabs>
                <w:tab w:val="left" w:pos="465"/>
              </w:tabs>
              <w:kinsoku/>
              <w:wordWrap/>
              <w:overflowPunct/>
              <w:topLinePunct w:val="0"/>
              <w:autoSpaceDE/>
              <w:autoSpaceDN/>
              <w:bidi w:val="0"/>
              <w:adjustRightInd/>
              <w:snapToGrid/>
              <w:spacing w:line="540" w:lineRule="exact"/>
              <w:jc w:val="center"/>
              <w:textAlignment w:val="auto"/>
              <w:rPr>
                <w:rFonts w:ascii="仿宋_GB2312" w:eastAsia="仿宋_GB2312"/>
                <w:sz w:val="24"/>
              </w:rPr>
            </w:pPr>
            <w:r>
              <w:rPr>
                <w:rFonts w:hint="eastAsia" w:ascii="仿宋_GB2312" w:eastAsia="仿宋_GB2312"/>
                <w:sz w:val="24"/>
                <w:lang w:val="en-US" w:eastAsia="zh-CN"/>
              </w:rPr>
              <w:t>建设用</w:t>
            </w:r>
            <w:r>
              <w:rPr>
                <w:rFonts w:ascii="仿宋_GB2312" w:eastAsia="仿宋_GB2312"/>
                <w:sz w:val="24"/>
              </w:rPr>
              <w:t>地</w:t>
            </w:r>
          </w:p>
        </w:tc>
        <w:tc>
          <w:tcPr>
            <w:tcW w:w="3827" w:type="dxa"/>
            <w:vAlign w:val="center"/>
          </w:tcPr>
          <w:p w14:paraId="140F0AF1">
            <w:pPr>
              <w:keepNext w:val="0"/>
              <w:keepLines w:val="0"/>
              <w:pageBreakBefore w:val="0"/>
              <w:widowControl w:val="0"/>
              <w:tabs>
                <w:tab w:val="left" w:pos="465"/>
              </w:tabs>
              <w:kinsoku/>
              <w:wordWrap/>
              <w:overflowPunct/>
              <w:topLinePunct w:val="0"/>
              <w:autoSpaceDE/>
              <w:autoSpaceDN/>
              <w:bidi w:val="0"/>
              <w:adjustRightInd/>
              <w:snapToGrid/>
              <w:spacing w:line="540" w:lineRule="exact"/>
              <w:jc w:val="center"/>
              <w:textAlignment w:val="auto"/>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0</w:t>
            </w:r>
          </w:p>
        </w:tc>
      </w:tr>
      <w:tr w14:paraId="60296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235" w:type="dxa"/>
            <w:vMerge w:val="continue"/>
            <w:vAlign w:val="center"/>
          </w:tcPr>
          <w:p w14:paraId="6C7062FC">
            <w:pPr>
              <w:keepNext w:val="0"/>
              <w:keepLines w:val="0"/>
              <w:pageBreakBefore w:val="0"/>
              <w:widowControl w:val="0"/>
              <w:tabs>
                <w:tab w:val="left" w:pos="465"/>
              </w:tabs>
              <w:kinsoku/>
              <w:wordWrap/>
              <w:overflowPunct/>
              <w:topLinePunct w:val="0"/>
              <w:autoSpaceDE/>
              <w:autoSpaceDN/>
              <w:bidi w:val="0"/>
              <w:adjustRightInd/>
              <w:snapToGrid/>
              <w:spacing w:line="540" w:lineRule="exact"/>
              <w:jc w:val="center"/>
              <w:textAlignment w:val="auto"/>
              <w:rPr>
                <w:rFonts w:ascii="仿宋_GB2312" w:eastAsia="仿宋_GB2312"/>
                <w:sz w:val="24"/>
              </w:rPr>
            </w:pPr>
          </w:p>
        </w:tc>
        <w:tc>
          <w:tcPr>
            <w:tcW w:w="2551" w:type="dxa"/>
            <w:vAlign w:val="center"/>
          </w:tcPr>
          <w:p w14:paraId="443B2CE7">
            <w:pPr>
              <w:keepNext w:val="0"/>
              <w:keepLines w:val="0"/>
              <w:pageBreakBefore w:val="0"/>
              <w:widowControl w:val="0"/>
              <w:tabs>
                <w:tab w:val="left" w:pos="465"/>
              </w:tabs>
              <w:kinsoku/>
              <w:wordWrap/>
              <w:overflowPunct/>
              <w:topLinePunct w:val="0"/>
              <w:autoSpaceDE/>
              <w:autoSpaceDN/>
              <w:bidi w:val="0"/>
              <w:adjustRightInd/>
              <w:snapToGrid/>
              <w:spacing w:line="540" w:lineRule="exact"/>
              <w:jc w:val="center"/>
              <w:textAlignment w:val="auto"/>
              <w:rPr>
                <w:rFonts w:hint="default" w:ascii="仿宋_GB2312" w:eastAsia="仿宋_GB2312"/>
                <w:sz w:val="24"/>
                <w:lang w:val="en-US" w:eastAsia="zh-CN"/>
              </w:rPr>
            </w:pPr>
            <w:r>
              <w:rPr>
                <w:rFonts w:hint="eastAsia" w:ascii="仿宋_GB2312" w:eastAsia="仿宋_GB2312"/>
                <w:sz w:val="24"/>
                <w:lang w:val="en-US" w:eastAsia="zh-CN"/>
              </w:rPr>
              <w:t>未利用地</w:t>
            </w:r>
          </w:p>
        </w:tc>
        <w:tc>
          <w:tcPr>
            <w:tcW w:w="3827" w:type="dxa"/>
            <w:vAlign w:val="center"/>
          </w:tcPr>
          <w:p w14:paraId="3FAB51F9">
            <w:pPr>
              <w:keepNext w:val="0"/>
              <w:keepLines w:val="0"/>
              <w:pageBreakBefore w:val="0"/>
              <w:widowControl w:val="0"/>
              <w:tabs>
                <w:tab w:val="left" w:pos="465"/>
              </w:tabs>
              <w:kinsoku/>
              <w:wordWrap/>
              <w:overflowPunct/>
              <w:topLinePunct w:val="0"/>
              <w:autoSpaceDE/>
              <w:autoSpaceDN/>
              <w:bidi w:val="0"/>
              <w:adjustRightInd/>
              <w:snapToGrid/>
              <w:spacing w:line="540" w:lineRule="exact"/>
              <w:jc w:val="center"/>
              <w:textAlignment w:val="auto"/>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0</w:t>
            </w:r>
          </w:p>
        </w:tc>
      </w:tr>
      <w:tr w14:paraId="1242C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786" w:type="dxa"/>
            <w:gridSpan w:val="2"/>
            <w:vAlign w:val="center"/>
          </w:tcPr>
          <w:p w14:paraId="2445AC19">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仿宋_GB2312" w:eastAsia="仿宋_GB2312"/>
                <w:b/>
                <w:sz w:val="24"/>
              </w:rPr>
            </w:pPr>
            <w:r>
              <w:rPr>
                <w:rFonts w:hint="eastAsia" w:ascii="仿宋_GB2312" w:eastAsia="仿宋_GB2312"/>
                <w:b/>
                <w:sz w:val="24"/>
              </w:rPr>
              <w:t>合计</w:t>
            </w:r>
          </w:p>
        </w:tc>
        <w:tc>
          <w:tcPr>
            <w:tcW w:w="3827" w:type="dxa"/>
            <w:vAlign w:val="center"/>
          </w:tcPr>
          <w:p w14:paraId="5615C610">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仿宋_GB2312" w:eastAsia="仿宋_GB2312"/>
                <w:b/>
                <w:sz w:val="24"/>
                <w:lang w:val="en-US" w:eastAsia="zh-CN"/>
              </w:rPr>
            </w:pPr>
            <w:r>
              <w:rPr>
                <w:rFonts w:hint="eastAsia" w:ascii="仿宋_GB2312" w:hAnsi="宋体" w:eastAsia="仿宋_GB2312" w:cs="宋体"/>
                <w:kern w:val="0"/>
                <w:sz w:val="24"/>
                <w:lang w:val="en-US" w:eastAsia="zh-CN"/>
              </w:rPr>
              <w:t>7.2869</w:t>
            </w:r>
          </w:p>
        </w:tc>
      </w:tr>
    </w:tbl>
    <w:p w14:paraId="3F54D76B">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eastAsia="仿宋_GB2312"/>
          <w:sz w:val="32"/>
          <w:szCs w:val="32"/>
        </w:rPr>
      </w:pPr>
      <w:r>
        <w:rPr>
          <w:rFonts w:hint="eastAsia" w:ascii="仿宋_GB2312" w:eastAsia="仿宋_GB2312"/>
          <w:sz w:val="32"/>
          <w:szCs w:val="32"/>
        </w:rPr>
        <w:t>涉及的农村村民住宅、其他地上附着物和青苗等的权属、种类、数量等信息详见《拟征收土地地上附着物调查确认表》。</w:t>
      </w:r>
    </w:p>
    <w:p w14:paraId="506D97A2">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ascii="黑体" w:hAnsi="黑体" w:eastAsia="黑体"/>
          <w:sz w:val="32"/>
          <w:szCs w:val="32"/>
        </w:rPr>
      </w:pPr>
      <w:r>
        <w:rPr>
          <w:rFonts w:hint="eastAsia" w:ascii="黑体" w:hAnsi="黑体" w:eastAsia="黑体"/>
          <w:sz w:val="32"/>
          <w:szCs w:val="32"/>
        </w:rPr>
        <w:t>二</w:t>
      </w:r>
      <w:r>
        <w:rPr>
          <w:rFonts w:ascii="黑体" w:hAnsi="黑体" w:eastAsia="黑体"/>
          <w:sz w:val="32"/>
          <w:szCs w:val="32"/>
        </w:rPr>
        <w:t>、征收</w:t>
      </w:r>
      <w:r>
        <w:rPr>
          <w:rFonts w:hint="eastAsia" w:ascii="黑体" w:hAnsi="黑体" w:eastAsia="黑体"/>
          <w:sz w:val="32"/>
          <w:szCs w:val="32"/>
        </w:rPr>
        <w:t>目的</w:t>
      </w:r>
    </w:p>
    <w:p w14:paraId="57627586">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eastAsia="仿宋_GB2312"/>
          <w:sz w:val="32"/>
          <w:szCs w:val="32"/>
        </w:rPr>
      </w:pPr>
      <w:r>
        <w:rPr>
          <w:rFonts w:hint="eastAsia" w:ascii="仿宋_GB2312" w:eastAsia="仿宋_GB2312"/>
          <w:sz w:val="32"/>
          <w:szCs w:val="32"/>
        </w:rPr>
        <w:t>本次拟征收土地的用途</w:t>
      </w:r>
      <w:r>
        <w:rPr>
          <w:rFonts w:hint="eastAsia" w:ascii="仿宋_GB2312" w:eastAsia="仿宋_GB2312"/>
          <w:sz w:val="32"/>
          <w:szCs w:val="32"/>
          <w:lang w:val="en-US" w:eastAsia="zh-CN"/>
        </w:rPr>
        <w:t>为工业</w:t>
      </w:r>
      <w:r>
        <w:rPr>
          <w:rFonts w:hint="eastAsia" w:ascii="仿宋_GB2312" w:eastAsia="仿宋_GB2312"/>
          <w:sz w:val="32"/>
          <w:szCs w:val="32"/>
        </w:rPr>
        <w:t>用地</w:t>
      </w:r>
      <w:r>
        <w:rPr>
          <w:rFonts w:hint="eastAsia" w:ascii="仿宋_GB2312" w:eastAsia="仿宋_GB2312"/>
          <w:sz w:val="32"/>
          <w:szCs w:val="32"/>
          <w:lang w:eastAsia="zh-CN"/>
        </w:rPr>
        <w:t>、</w:t>
      </w:r>
      <w:r>
        <w:rPr>
          <w:rFonts w:hint="eastAsia" w:ascii="仿宋_GB2312" w:eastAsia="仿宋_GB2312"/>
          <w:sz w:val="32"/>
          <w:szCs w:val="32"/>
          <w:lang w:val="en-US" w:eastAsia="zh-CN"/>
        </w:rPr>
        <w:t>交通运输用地</w:t>
      </w:r>
      <w:r>
        <w:rPr>
          <w:rFonts w:hint="eastAsia" w:ascii="仿宋_GB2312" w:eastAsia="仿宋_GB2312"/>
          <w:sz w:val="32"/>
          <w:szCs w:val="32"/>
        </w:rPr>
        <w:t>，该用地符合《中华人民共和国土地管理法》第四十五条第</w:t>
      </w:r>
      <w:r>
        <w:rPr>
          <w:rFonts w:hint="eastAsia" w:ascii="仿宋_GB2312" w:eastAsia="仿宋_GB2312"/>
          <w:sz w:val="32"/>
          <w:szCs w:val="32"/>
          <w:lang w:val="en-US" w:eastAsia="zh-CN"/>
        </w:rPr>
        <w:t>五</w:t>
      </w:r>
      <w:r>
        <w:rPr>
          <w:rFonts w:hint="eastAsia" w:ascii="仿宋_GB2312" w:eastAsia="仿宋_GB2312"/>
          <w:sz w:val="32"/>
          <w:szCs w:val="32"/>
        </w:rPr>
        <w:t>款规定，确需征收农民集体所有土地。</w:t>
      </w:r>
    </w:p>
    <w:p w14:paraId="43251AC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ascii="黑体" w:hAnsi="黑体" w:eastAsia="黑体"/>
          <w:sz w:val="32"/>
          <w:szCs w:val="32"/>
        </w:rPr>
      </w:pPr>
      <w:r>
        <w:rPr>
          <w:rFonts w:hint="eastAsia" w:ascii="黑体" w:hAnsi="黑体" w:eastAsia="黑体"/>
          <w:sz w:val="32"/>
          <w:szCs w:val="32"/>
        </w:rPr>
        <w:t>三</w:t>
      </w:r>
      <w:r>
        <w:rPr>
          <w:rFonts w:ascii="黑体" w:hAnsi="黑体" w:eastAsia="黑体"/>
          <w:sz w:val="32"/>
          <w:szCs w:val="32"/>
        </w:rPr>
        <w:t>、</w:t>
      </w:r>
      <w:r>
        <w:rPr>
          <w:rFonts w:hint="eastAsia" w:ascii="黑体" w:hAnsi="黑体" w:eastAsia="黑体"/>
          <w:sz w:val="32"/>
          <w:szCs w:val="32"/>
        </w:rPr>
        <w:t>补偿标准</w:t>
      </w:r>
      <w:r>
        <w:rPr>
          <w:rFonts w:ascii="黑体" w:hAnsi="黑体" w:eastAsia="黑体"/>
          <w:sz w:val="32"/>
          <w:szCs w:val="32"/>
        </w:rPr>
        <w:t>及安置</w:t>
      </w:r>
      <w:r>
        <w:rPr>
          <w:rFonts w:hint="eastAsia" w:ascii="黑体" w:hAnsi="黑体" w:eastAsia="黑体"/>
          <w:sz w:val="32"/>
          <w:szCs w:val="32"/>
        </w:rPr>
        <w:t>方式</w:t>
      </w:r>
    </w:p>
    <w:p w14:paraId="033B662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eastAsia="zh-CN"/>
        </w:rPr>
      </w:pPr>
      <w:r>
        <w:rPr>
          <w:rFonts w:ascii="仿宋_GB2312" w:hAnsi="仿宋" w:eastAsia="仿宋_GB2312"/>
          <w:sz w:val="32"/>
          <w:szCs w:val="32"/>
        </w:rPr>
        <w:t>1.</w:t>
      </w:r>
      <w:r>
        <w:rPr>
          <w:rFonts w:hint="eastAsia" w:ascii="仿宋_GB2312" w:eastAsia="仿宋_GB2312"/>
          <w:sz w:val="32"/>
          <w:szCs w:val="32"/>
        </w:rPr>
        <w:t xml:space="preserve"> 依据陕西</w:t>
      </w:r>
      <w:r>
        <w:rPr>
          <w:rFonts w:ascii="仿宋_GB2312" w:eastAsia="仿宋_GB2312"/>
          <w:sz w:val="32"/>
          <w:szCs w:val="32"/>
        </w:rPr>
        <w:t>省</w:t>
      </w:r>
      <w:r>
        <w:rPr>
          <w:rFonts w:hint="eastAsia" w:ascii="仿宋_GB2312" w:eastAsia="仿宋_GB2312"/>
          <w:sz w:val="32"/>
          <w:szCs w:val="32"/>
        </w:rPr>
        <w:t>人民</w:t>
      </w:r>
      <w:r>
        <w:rPr>
          <w:rFonts w:ascii="仿宋_GB2312" w:eastAsia="仿宋_GB2312"/>
          <w:sz w:val="32"/>
          <w:szCs w:val="32"/>
        </w:rPr>
        <w:t>政府《</w:t>
      </w:r>
      <w:r>
        <w:rPr>
          <w:rFonts w:hint="eastAsia" w:ascii="仿宋_GB2312" w:eastAsia="仿宋_GB2312"/>
          <w:sz w:val="32"/>
          <w:szCs w:val="32"/>
        </w:rPr>
        <w:t>关于</w:t>
      </w:r>
      <w:r>
        <w:rPr>
          <w:rFonts w:hint="eastAsia" w:ascii="仿宋_GB2312" w:eastAsia="仿宋_GB2312"/>
          <w:sz w:val="32"/>
          <w:szCs w:val="32"/>
          <w:lang w:val="en-US" w:eastAsia="zh-CN"/>
        </w:rPr>
        <w:t>重新</w:t>
      </w:r>
      <w:r>
        <w:rPr>
          <w:rFonts w:hint="eastAsia" w:ascii="仿宋_GB2312" w:eastAsia="仿宋_GB2312"/>
          <w:sz w:val="32"/>
          <w:szCs w:val="32"/>
        </w:rPr>
        <w:t>公布</w:t>
      </w:r>
      <w:r>
        <w:rPr>
          <w:rFonts w:ascii="仿宋_GB2312" w:eastAsia="仿宋_GB2312"/>
          <w:sz w:val="32"/>
          <w:szCs w:val="32"/>
        </w:rPr>
        <w:t>全省</w:t>
      </w:r>
      <w:r>
        <w:rPr>
          <w:rFonts w:hint="eastAsia" w:ascii="仿宋_GB2312" w:eastAsia="仿宋_GB2312"/>
          <w:sz w:val="32"/>
          <w:szCs w:val="32"/>
        </w:rPr>
        <w:t>征收农用地区片综合地价</w:t>
      </w:r>
      <w:r>
        <w:rPr>
          <w:rFonts w:ascii="仿宋_GB2312" w:eastAsia="仿宋_GB2312"/>
          <w:sz w:val="32"/>
          <w:szCs w:val="32"/>
        </w:rPr>
        <w:t>的通知》</w:t>
      </w:r>
      <w:r>
        <w:rPr>
          <w:rFonts w:hint="eastAsia" w:ascii="仿宋_GB2312" w:eastAsia="仿宋_GB2312"/>
          <w:sz w:val="32"/>
          <w:szCs w:val="32"/>
        </w:rPr>
        <w:t>（陕</w:t>
      </w:r>
      <w:r>
        <w:rPr>
          <w:rFonts w:ascii="仿宋_GB2312" w:eastAsia="仿宋_GB2312"/>
          <w:sz w:val="32"/>
          <w:szCs w:val="32"/>
        </w:rPr>
        <w:t>政</w:t>
      </w:r>
      <w:r>
        <w:rPr>
          <w:rFonts w:hint="eastAsia" w:ascii="仿宋_GB2312" w:eastAsia="仿宋_GB2312"/>
          <w:sz w:val="32"/>
          <w:szCs w:val="32"/>
        </w:rPr>
        <w:t>发〔202</w:t>
      </w:r>
      <w:r>
        <w:rPr>
          <w:rFonts w:hint="eastAsia" w:ascii="仿宋_GB2312" w:eastAsia="仿宋_GB2312"/>
          <w:sz w:val="32"/>
          <w:szCs w:val="32"/>
          <w:lang w:val="en-US" w:eastAsia="zh-CN"/>
        </w:rPr>
        <w:t>4</w:t>
      </w:r>
      <w:r>
        <w:rPr>
          <w:rFonts w:hint="eastAsia" w:ascii="仿宋_GB2312" w:eastAsia="仿宋_GB2312"/>
          <w:sz w:val="32"/>
          <w:szCs w:val="32"/>
        </w:rPr>
        <w:t>〕</w:t>
      </w:r>
      <w:r>
        <w:rPr>
          <w:rFonts w:hint="eastAsia" w:ascii="仿宋_GB2312" w:eastAsia="仿宋_GB2312"/>
          <w:sz w:val="32"/>
          <w:szCs w:val="32"/>
          <w:lang w:val="en-US" w:eastAsia="zh-CN"/>
        </w:rPr>
        <w:t>4</w:t>
      </w:r>
      <w:r>
        <w:rPr>
          <w:rFonts w:hint="eastAsia" w:ascii="仿宋_GB2312" w:eastAsia="仿宋_GB2312"/>
          <w:sz w:val="32"/>
          <w:szCs w:val="32"/>
        </w:rPr>
        <w:t>号）和</w:t>
      </w:r>
      <w:r>
        <w:rPr>
          <w:rFonts w:hint="eastAsia" w:ascii="仿宋_GB2312" w:hAnsi="仿宋_GB2312" w:eastAsia="仿宋_GB2312" w:cs="仿宋_GB2312"/>
          <w:sz w:val="32"/>
          <w:szCs w:val="32"/>
        </w:rPr>
        <w:t>周至县人民政府《关于</w:t>
      </w:r>
      <w:r>
        <w:rPr>
          <w:rFonts w:hint="eastAsia" w:ascii="仿宋_GB2312" w:hAnsi="仿宋_GB2312" w:eastAsia="仿宋_GB2312" w:cs="仿宋_GB2312"/>
          <w:sz w:val="32"/>
          <w:szCs w:val="32"/>
          <w:lang w:val="en-US" w:eastAsia="zh-CN"/>
        </w:rPr>
        <w:t>重新</w:t>
      </w:r>
      <w:r>
        <w:rPr>
          <w:rFonts w:hint="eastAsia" w:ascii="仿宋_GB2312" w:hAnsi="仿宋_GB2312" w:eastAsia="仿宋_GB2312" w:cs="仿宋_GB2312"/>
          <w:sz w:val="32"/>
          <w:szCs w:val="32"/>
        </w:rPr>
        <w:t>公布全县征收农用地区片综合地价的通告》（周政告字</w:t>
      </w:r>
      <w:r>
        <w:rPr>
          <w:rFonts w:hint="eastAsia" w:ascii="仿宋_GB2312" w:eastAsia="仿宋_GB2312"/>
          <w:sz w:val="32"/>
          <w:szCs w:val="32"/>
        </w:rPr>
        <w:t>〔</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eastAsia="仿宋_GB2312"/>
          <w:sz w:val="32"/>
          <w:szCs w:val="32"/>
        </w:rPr>
        <w:t>〕</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号）文件规定</w:t>
      </w:r>
      <w:r>
        <w:rPr>
          <w:rFonts w:hint="eastAsia" w:ascii="仿宋_GB2312" w:hAnsi="仿宋_GB2312" w:eastAsia="仿宋_GB2312" w:cs="仿宋_GB2312"/>
          <w:sz w:val="32"/>
          <w:szCs w:val="32"/>
          <w:lang w:eastAsia="zh-CN"/>
        </w:rPr>
        <w:t>。</w:t>
      </w:r>
    </w:p>
    <w:p w14:paraId="083B60B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_GB2312"/>
          <w:sz w:val="32"/>
          <w:szCs w:val="32"/>
          <w:lang w:eastAsia="zh-CN"/>
        </w:rPr>
      </w:pPr>
      <w:r>
        <w:rPr>
          <w:rFonts w:hint="eastAsia" w:ascii="仿宋_GB2312" w:hAnsi="仿宋_GB2312" w:eastAsia="仿宋_GB2312" w:cs="仿宋_GB2312"/>
          <w:sz w:val="32"/>
          <w:szCs w:val="32"/>
        </w:rPr>
        <w:t>该项目拟征收集体土地</w:t>
      </w:r>
      <w:r>
        <w:rPr>
          <w:rFonts w:hint="eastAsia" w:ascii="仿宋_GB2312" w:hAnsi="仿宋_GB2312" w:eastAsia="仿宋_GB2312" w:cs="仿宋_GB2312"/>
          <w:sz w:val="32"/>
          <w:szCs w:val="32"/>
          <w:lang w:val="en-US" w:eastAsia="zh-CN"/>
        </w:rPr>
        <w:t>7.2869</w:t>
      </w:r>
      <w:r>
        <w:rPr>
          <w:rFonts w:hint="eastAsia" w:ascii="仿宋_GB2312" w:hAnsi="仿宋_GB2312" w:eastAsia="仿宋_GB2312" w:cs="仿宋_GB2312"/>
          <w:sz w:val="32"/>
          <w:szCs w:val="32"/>
        </w:rPr>
        <w:t>公顷，共涉及1个征地区片综合地价片区，标准为每亩</w:t>
      </w:r>
      <w:r>
        <w:rPr>
          <w:rFonts w:hint="eastAsia" w:ascii="仿宋_GB2312" w:hAnsi="仿宋_GB2312" w:eastAsia="仿宋_GB2312" w:cs="仿宋_GB2312"/>
          <w:sz w:val="32"/>
          <w:szCs w:val="32"/>
          <w:lang w:val="en-US" w:eastAsia="zh-CN"/>
        </w:rPr>
        <w:t>5.02</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p>
    <w:p w14:paraId="29C00A2E">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2.</w:t>
      </w:r>
      <w:r>
        <w:rPr>
          <w:rFonts w:hint="eastAsia" w:ascii="仿宋_GB2312" w:hAnsi="仿宋_GB2312" w:eastAsia="仿宋_GB2312" w:cs="仿宋_GB2312"/>
          <w:color w:val="000000"/>
          <w:sz w:val="32"/>
          <w:szCs w:val="32"/>
        </w:rPr>
        <w:t>本次拟征收土地范围内的农村村民住宅等补偿参照</w:t>
      </w:r>
      <w:r>
        <w:rPr>
          <w:rFonts w:hint="eastAsia" w:ascii="仿宋_GB2312" w:hAnsi="仿宋" w:eastAsia="仿宋_GB2312"/>
          <w:sz w:val="32"/>
          <w:szCs w:val="32"/>
        </w:rPr>
        <w:t>周至县人民政府《关于印发</w:t>
      </w:r>
      <w:r>
        <w:rPr>
          <w:rFonts w:ascii="仿宋_GB2312" w:hAnsi="仿宋" w:eastAsia="仿宋_GB2312"/>
          <w:sz w:val="32"/>
          <w:szCs w:val="32"/>
        </w:rPr>
        <w:t>&lt;</w:t>
      </w:r>
      <w:r>
        <w:rPr>
          <w:rFonts w:hint="eastAsia" w:ascii="仿宋_GB2312" w:hAnsi="仿宋" w:eastAsia="仿宋_GB2312"/>
          <w:sz w:val="32"/>
          <w:szCs w:val="32"/>
        </w:rPr>
        <w:t>西部智能装备产业园二期土地征收补偿工作实施方案</w:t>
      </w:r>
      <w:r>
        <w:rPr>
          <w:rFonts w:ascii="仿宋_GB2312" w:hAnsi="仿宋" w:eastAsia="仿宋_GB2312"/>
          <w:sz w:val="32"/>
          <w:szCs w:val="32"/>
        </w:rPr>
        <w:t>&gt;</w:t>
      </w:r>
      <w:r>
        <w:rPr>
          <w:rFonts w:hint="eastAsia" w:ascii="仿宋_GB2312" w:hAnsi="仿宋" w:eastAsia="仿宋_GB2312"/>
          <w:sz w:val="32"/>
          <w:szCs w:val="32"/>
        </w:rPr>
        <w:t>的通知》（周政办发〔2021〕39号）现行补偿标准执行</w:t>
      </w:r>
      <w:r>
        <w:rPr>
          <w:rFonts w:hint="eastAsia" w:ascii="仿宋_GB2312" w:hAnsi="仿宋_GB2312" w:eastAsia="仿宋_GB2312" w:cs="仿宋_GB2312"/>
          <w:color w:val="000000"/>
          <w:sz w:val="32"/>
          <w:szCs w:val="32"/>
        </w:rPr>
        <w:t>。</w:t>
      </w:r>
    </w:p>
    <w:p w14:paraId="2F3A97F1">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3</w:t>
      </w:r>
      <w:r>
        <w:rPr>
          <w:rFonts w:ascii="仿宋_GB2312" w:hAnsi="仿宋" w:eastAsia="仿宋_GB2312"/>
          <w:sz w:val="32"/>
          <w:szCs w:val="32"/>
        </w:rPr>
        <w:t>.</w:t>
      </w:r>
      <w:r>
        <w:rPr>
          <w:rFonts w:hint="eastAsia" w:ascii="仿宋_GB2312" w:hAnsi="仿宋" w:eastAsia="仿宋_GB2312"/>
          <w:sz w:val="32"/>
          <w:szCs w:val="32"/>
        </w:rPr>
        <w:t>本次拟征收土地范围内的青苗和地上附着物等补偿参照周至县人民政府《关于印发</w:t>
      </w:r>
      <w:r>
        <w:rPr>
          <w:rFonts w:ascii="仿宋_GB2312" w:hAnsi="仿宋" w:eastAsia="仿宋_GB2312"/>
          <w:sz w:val="32"/>
          <w:szCs w:val="32"/>
        </w:rPr>
        <w:t>&lt;</w:t>
      </w:r>
      <w:r>
        <w:rPr>
          <w:rFonts w:hint="eastAsia" w:ascii="仿宋_GB2312" w:hAnsi="仿宋" w:eastAsia="仿宋_GB2312"/>
          <w:sz w:val="32"/>
          <w:szCs w:val="32"/>
        </w:rPr>
        <w:t>西部智能装备产业园二期土地征收补偿工作实施方案</w:t>
      </w:r>
      <w:r>
        <w:rPr>
          <w:rFonts w:ascii="仿宋_GB2312" w:hAnsi="仿宋" w:eastAsia="仿宋_GB2312"/>
          <w:sz w:val="32"/>
          <w:szCs w:val="32"/>
        </w:rPr>
        <w:t>&gt;</w:t>
      </w:r>
      <w:r>
        <w:rPr>
          <w:rFonts w:hint="eastAsia" w:ascii="仿宋_GB2312" w:hAnsi="仿宋" w:eastAsia="仿宋_GB2312"/>
          <w:sz w:val="32"/>
          <w:szCs w:val="32"/>
        </w:rPr>
        <w:t>的通知》（周政办发〔2021〕39号）现行补偿标准执行。</w:t>
      </w:r>
    </w:p>
    <w:p w14:paraId="20C0B19F">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4.被征地农民采取以货币安置、社会保险安置为主的方式进行安置。</w:t>
      </w:r>
    </w:p>
    <w:p w14:paraId="3BD1F68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ascii="黑体" w:hAnsi="黑体" w:eastAsia="黑体"/>
          <w:sz w:val="32"/>
          <w:szCs w:val="32"/>
        </w:rPr>
      </w:pPr>
      <w:r>
        <w:rPr>
          <w:rFonts w:hint="eastAsia" w:ascii="黑体" w:hAnsi="黑体" w:eastAsia="黑体"/>
          <w:sz w:val="32"/>
          <w:szCs w:val="32"/>
        </w:rPr>
        <w:t>四</w:t>
      </w:r>
      <w:r>
        <w:rPr>
          <w:rFonts w:ascii="黑体" w:hAnsi="黑体" w:eastAsia="黑体"/>
          <w:sz w:val="32"/>
          <w:szCs w:val="32"/>
        </w:rPr>
        <w:t>、</w:t>
      </w:r>
      <w:r>
        <w:rPr>
          <w:rFonts w:hint="eastAsia" w:ascii="黑体" w:hAnsi="黑体" w:eastAsia="黑体"/>
          <w:sz w:val="32"/>
          <w:szCs w:val="32"/>
        </w:rPr>
        <w:t>补偿登记办理</w:t>
      </w:r>
      <w:r>
        <w:rPr>
          <w:rFonts w:ascii="黑体" w:hAnsi="黑体" w:eastAsia="黑体"/>
          <w:sz w:val="32"/>
          <w:szCs w:val="32"/>
        </w:rPr>
        <w:t>时间及地点</w:t>
      </w:r>
    </w:p>
    <w:p w14:paraId="3138E685">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本次拟征收土地的所有权人、使用权人应当于</w:t>
      </w:r>
      <w:r>
        <w:rPr>
          <w:rFonts w:hint="eastAsia" w:ascii="仿宋_GB2312" w:hAnsi="仿宋" w:eastAsia="仿宋_GB2312"/>
          <w:sz w:val="32"/>
          <w:szCs w:val="32"/>
          <w:lang w:val="en-US" w:eastAsia="zh-CN"/>
        </w:rPr>
        <w:t>2025</w:t>
      </w:r>
      <w:r>
        <w:rPr>
          <w:rFonts w:hint="eastAsia" w:ascii="仿宋_GB2312" w:hAnsi="仿宋" w:eastAsia="仿宋_GB2312"/>
          <w:sz w:val="32"/>
          <w:szCs w:val="32"/>
        </w:rPr>
        <w:t>年</w:t>
      </w:r>
      <w:r>
        <w:rPr>
          <w:rFonts w:hint="eastAsia" w:ascii="仿宋_GB2312" w:hAnsi="仿宋" w:eastAsia="仿宋_GB2312"/>
          <w:sz w:val="32"/>
          <w:szCs w:val="32"/>
          <w:lang w:val="en-US" w:eastAsia="zh-CN"/>
        </w:rPr>
        <w:t>8</w:t>
      </w:r>
      <w:r>
        <w:rPr>
          <w:rFonts w:hint="eastAsia" w:ascii="仿宋_GB2312" w:hAnsi="仿宋" w:eastAsia="仿宋_GB2312"/>
          <w:sz w:val="32"/>
          <w:szCs w:val="32"/>
        </w:rPr>
        <w:t>月</w:t>
      </w:r>
      <w:r>
        <w:rPr>
          <w:rFonts w:hint="eastAsia" w:ascii="仿宋_GB2312" w:hAnsi="仿宋" w:eastAsia="仿宋_GB2312"/>
          <w:sz w:val="32"/>
          <w:szCs w:val="32"/>
          <w:lang w:val="en-US" w:eastAsia="zh-CN"/>
        </w:rPr>
        <w:t xml:space="preserve"> 12</w:t>
      </w:r>
      <w:r>
        <w:rPr>
          <w:rFonts w:hint="eastAsia" w:ascii="仿宋_GB2312" w:hAnsi="仿宋" w:eastAsia="仿宋_GB2312"/>
          <w:sz w:val="32"/>
          <w:szCs w:val="32"/>
        </w:rPr>
        <w:t>日</w:t>
      </w:r>
      <w:r>
        <w:rPr>
          <w:rFonts w:hint="eastAsia" w:ascii="仿宋_GB2312" w:hAnsi="仿宋" w:eastAsia="仿宋_GB2312"/>
          <w:sz w:val="32"/>
          <w:szCs w:val="32"/>
          <w:lang w:val="en-US" w:eastAsia="zh-CN"/>
        </w:rPr>
        <w:t>至2025年9月11日间</w:t>
      </w:r>
      <w:r>
        <w:rPr>
          <w:rFonts w:hint="eastAsia" w:ascii="仿宋_GB2312" w:hAnsi="仿宋" w:eastAsia="仿宋_GB2312"/>
          <w:sz w:val="32"/>
          <w:szCs w:val="32"/>
        </w:rPr>
        <w:t>持不动产权属证明及相关材料，到</w:t>
      </w:r>
      <w:r>
        <w:rPr>
          <w:rFonts w:hint="eastAsia" w:ascii="仿宋_GB2312" w:hAnsi="仿宋" w:eastAsia="仿宋_GB2312"/>
          <w:sz w:val="32"/>
          <w:szCs w:val="32"/>
          <w:lang w:val="en-US" w:eastAsia="zh-CN"/>
        </w:rPr>
        <w:t>尚村镇人民政府</w:t>
      </w:r>
      <w:r>
        <w:rPr>
          <w:rFonts w:hint="eastAsia" w:ascii="仿宋_GB2312" w:hAnsi="仿宋" w:eastAsia="仿宋_GB2312"/>
          <w:sz w:val="32"/>
          <w:szCs w:val="32"/>
        </w:rPr>
        <w:t>办理补偿登记。在规定期限内不办理土地补偿登记的，将以土地调查结果为准。</w:t>
      </w:r>
    </w:p>
    <w:p w14:paraId="72DA738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ascii="仿宋_GB2312" w:hAnsi="仿宋" w:eastAsia="仿宋_GB2312"/>
          <w:sz w:val="32"/>
          <w:szCs w:val="32"/>
        </w:rPr>
      </w:pPr>
      <w:r>
        <w:rPr>
          <w:rFonts w:hint="eastAsia" w:ascii="黑体" w:hAnsi="黑体" w:eastAsia="黑体"/>
          <w:sz w:val="32"/>
          <w:szCs w:val="32"/>
        </w:rPr>
        <w:t>五</w:t>
      </w:r>
      <w:r>
        <w:rPr>
          <w:rFonts w:ascii="黑体" w:hAnsi="黑体" w:eastAsia="黑体"/>
          <w:sz w:val="32"/>
          <w:szCs w:val="32"/>
        </w:rPr>
        <w:t>、</w:t>
      </w:r>
      <w:r>
        <w:rPr>
          <w:rFonts w:hint="eastAsia" w:ascii="黑体" w:hAnsi="黑体" w:eastAsia="黑体"/>
          <w:sz w:val="32"/>
          <w:szCs w:val="32"/>
        </w:rPr>
        <w:t>其他事项</w:t>
      </w:r>
    </w:p>
    <w:p w14:paraId="74A7E229">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自本公告发布之日起30日内，多数被征地的农村集体经济组织成员认为《征地补偿安置公告》不符合法律、法规规定或有不同意见的，应当在本公告期内向周至县自然资源和规划局提出具体意见；要求听证的应书面提出申请，逾期未提出具体意见或听证申请的，视为放弃权利。对土地征收补偿安置公告无异议的，应提供《征地补偿安置公告无需听证回执书》。</w:t>
      </w:r>
    </w:p>
    <w:p w14:paraId="5F1D6F0F">
      <w:pPr>
        <w:spacing w:after="0" w:line="60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本公告期满后将按照补偿登记结果与拟征收土地所有权人、使用权人签订《征地补偿安置协议》，周至县自然资源和规划局将依据本公告及签订的《征地补偿安置协议》拟定用地报批征收土地方案，征地补偿安置内容以省政府批复为准。</w:t>
      </w:r>
    </w:p>
    <w:p w14:paraId="2CD07427">
      <w:pPr>
        <w:spacing w:line="480" w:lineRule="exact"/>
        <w:ind w:firstLine="640" w:firstLineChars="200"/>
        <w:rPr>
          <w:rFonts w:ascii="仿宋_GB2312" w:hAnsi="仿宋" w:eastAsia="仿宋_GB2312"/>
          <w:sz w:val="32"/>
          <w:szCs w:val="32"/>
        </w:rPr>
      </w:pPr>
    </w:p>
    <w:p w14:paraId="02F6A45A">
      <w:pPr>
        <w:spacing w:line="480" w:lineRule="exact"/>
        <w:ind w:firstLine="640" w:firstLineChars="200"/>
        <w:rPr>
          <w:rFonts w:ascii="仿宋_GB2312" w:hAnsi="仿宋" w:eastAsia="仿宋_GB2312"/>
          <w:sz w:val="32"/>
          <w:szCs w:val="32"/>
        </w:rPr>
      </w:pPr>
    </w:p>
    <w:p w14:paraId="4FBB7570">
      <w:pPr>
        <w:spacing w:after="0" w:line="560" w:lineRule="exact"/>
        <w:ind w:firstLine="5760" w:firstLineChars="1800"/>
        <w:rPr>
          <w:rFonts w:hint="default" w:ascii="仿宋_GB2312" w:hAnsi="仿宋" w:eastAsia="仿宋_GB2312"/>
          <w:sz w:val="32"/>
          <w:szCs w:val="32"/>
          <w:lang w:val="en-US" w:eastAsia="zh-CN"/>
        </w:rPr>
      </w:pPr>
      <w:r>
        <w:rPr>
          <w:rFonts w:hint="eastAsia" w:ascii="仿宋_GB2312" w:hAnsi="仿宋" w:eastAsia="仿宋_GB2312"/>
          <w:sz w:val="32"/>
          <w:szCs w:val="32"/>
          <w:lang w:val="en-US" w:eastAsia="zh-CN"/>
        </w:rPr>
        <w:t>周至县人民政府</w:t>
      </w:r>
    </w:p>
    <w:p w14:paraId="3C32D95B">
      <w:pPr>
        <w:spacing w:after="0" w:line="560" w:lineRule="exact"/>
        <w:ind w:firstLine="5760" w:firstLineChars="1800"/>
        <w:rPr>
          <w:rFonts w:hint="eastAsia" w:ascii="仿宋_GB2312" w:hAnsi="仿宋" w:eastAsia="仿宋_GB2312"/>
          <w:sz w:val="32"/>
          <w:szCs w:val="32"/>
        </w:rPr>
      </w:pPr>
      <w:r>
        <w:rPr>
          <w:rFonts w:hint="eastAsia" w:ascii="仿宋_GB2312" w:hAnsi="仿宋" w:eastAsia="仿宋_GB2312"/>
          <w:sz w:val="32"/>
          <w:szCs w:val="32"/>
        </w:rPr>
        <w:t>202</w:t>
      </w:r>
      <w:r>
        <w:rPr>
          <w:rFonts w:hint="eastAsia" w:ascii="仿宋_GB2312" w:hAnsi="仿宋" w:eastAsia="仿宋_GB2312"/>
          <w:sz w:val="32"/>
          <w:szCs w:val="32"/>
          <w:lang w:val="en-US" w:eastAsia="zh-CN"/>
        </w:rPr>
        <w:t>5</w:t>
      </w:r>
      <w:r>
        <w:rPr>
          <w:rFonts w:hint="eastAsia" w:ascii="仿宋_GB2312" w:hAnsi="仿宋" w:eastAsia="仿宋_GB2312"/>
          <w:sz w:val="32"/>
          <w:szCs w:val="32"/>
        </w:rPr>
        <w:t>年</w:t>
      </w:r>
      <w:r>
        <w:rPr>
          <w:rFonts w:hint="eastAsia" w:ascii="仿宋_GB2312" w:hAnsi="仿宋" w:eastAsia="仿宋_GB2312"/>
          <w:sz w:val="32"/>
          <w:szCs w:val="32"/>
          <w:lang w:val="en-US" w:eastAsia="zh-CN"/>
        </w:rPr>
        <w:t>8</w:t>
      </w:r>
      <w:r>
        <w:rPr>
          <w:rFonts w:hint="eastAsia" w:ascii="仿宋_GB2312" w:hAnsi="仿宋" w:eastAsia="仿宋_GB2312"/>
          <w:sz w:val="32"/>
          <w:szCs w:val="32"/>
        </w:rPr>
        <w:t>月</w:t>
      </w:r>
      <w:r>
        <w:rPr>
          <w:rFonts w:hint="eastAsia" w:ascii="仿宋_GB2312" w:hAnsi="仿宋" w:eastAsia="仿宋_GB2312"/>
          <w:sz w:val="32"/>
          <w:szCs w:val="32"/>
          <w:lang w:val="en-US" w:eastAsia="zh-CN"/>
        </w:rPr>
        <w:t>12</w:t>
      </w:r>
      <w:r>
        <w:rPr>
          <w:rFonts w:hint="eastAsia" w:ascii="仿宋_GB2312" w:hAnsi="仿宋" w:eastAsia="仿宋_GB2312"/>
          <w:sz w:val="32"/>
          <w:szCs w:val="32"/>
        </w:rPr>
        <w:t>日</w:t>
      </w:r>
    </w:p>
    <w:p w14:paraId="5933CB23">
      <w:pPr>
        <w:spacing w:line="480" w:lineRule="exact"/>
        <w:ind w:firstLine="5440" w:firstLineChars="1700"/>
        <w:jc w:val="left"/>
        <w:rPr>
          <w:rFonts w:ascii="仿宋_GB2312" w:hAnsi="仿宋" w:eastAsia="仿宋_GB2312"/>
          <w:sz w:val="32"/>
          <w:szCs w:val="32"/>
        </w:rPr>
      </w:pPr>
    </w:p>
    <w:sectPr>
      <w:footerReference r:id="rId3" w:type="default"/>
      <w:pgSz w:w="11906" w:h="16838"/>
      <w:pgMar w:top="1418" w:right="1474" w:bottom="1361" w:left="1588" w:header="567" w:footer="680"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E64B52">
    <w:pPr>
      <w:pStyle w:val="4"/>
      <w:jc w:val="center"/>
      <w:rPr>
        <w:rFonts w:ascii="Times New Roman" w:hAnsi="Times New Roman" w:cs="Times New Roman"/>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sdt>
                          <w:sdtPr>
                            <w:id w:val="1458218753"/>
                            <w:docPartObj>
                              <w:docPartGallery w:val="autotext"/>
                            </w:docPartObj>
                          </w:sdtPr>
                          <w:sdtEndPr>
                            <w:rPr>
                              <w:rFonts w:ascii="Times New Roman" w:hAnsi="Times New Roman" w:cs="Times New Roman"/>
                              <w:sz w:val="28"/>
                              <w:szCs w:val="28"/>
                            </w:rPr>
                          </w:sdtEndPr>
                          <w:sdtContent>
                            <w:p w14:paraId="464030D5">
                              <w:pPr>
                                <w:pStyle w:val="4"/>
                                <w:jc w:val="center"/>
                                <w:rPr>
                                  <w:rFonts w:ascii="Times New Roman" w:hAnsi="Times New Roman" w:cs="Times New Roman"/>
                                  <w:sz w:val="28"/>
                                  <w:szCs w:val="28"/>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PAGE   \* MERGEFORMAT</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zh-CN"/>
                                </w:rPr>
                                <w:t>1</w:t>
                              </w:r>
                              <w:r>
                                <w:rPr>
                                  <w:rFonts w:hint="eastAsia" w:ascii="仿宋_GB2312" w:hAnsi="仿宋_GB2312" w:eastAsia="仿宋_GB2312" w:cs="仿宋_GB2312"/>
                                  <w:sz w:val="32"/>
                                  <w:szCs w:val="32"/>
                                </w:rPr>
                                <w:fldChar w:fldCharType="end"/>
                              </w:r>
                            </w:p>
                          </w:sdtContent>
                        </w:sdt>
                        <w:p w14:paraId="2B920B2E">
                          <w:pPr>
                            <w:rPr>
                              <w:rFonts w:ascii="Times New Roman" w:hAnsi="Times New Roman" w:cs="Times New Roman"/>
                              <w:sz w:val="28"/>
                              <w:szCs w:val="28"/>
                            </w:rPr>
                          </w:pP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FZIC97LAQAAnAMAAA4AAAAAAAAAAQAgAAAAHgEAAGRycy9lMm9E&#10;b2MueG1sUEsFBgAAAAAGAAYAWQEAAFsFAAAAAA==&#10;">
              <v:fill on="f" focussize="0,0"/>
              <v:stroke on="f"/>
              <v:imagedata o:title=""/>
              <o:lock v:ext="edit" aspectratio="f"/>
              <v:textbox inset="0mm,0mm,0mm,0mm" style="mso-fit-shape-to-text:t;">
                <w:txbxContent>
                  <w:sdt>
                    <w:sdtPr>
                      <w:id w:val="1458218753"/>
                      <w:docPartObj>
                        <w:docPartGallery w:val="autotext"/>
                      </w:docPartObj>
                    </w:sdtPr>
                    <w:sdtEndPr>
                      <w:rPr>
                        <w:rFonts w:ascii="Times New Roman" w:hAnsi="Times New Roman" w:cs="Times New Roman"/>
                        <w:sz w:val="28"/>
                        <w:szCs w:val="28"/>
                      </w:rPr>
                    </w:sdtEndPr>
                    <w:sdtContent>
                      <w:p w14:paraId="464030D5">
                        <w:pPr>
                          <w:pStyle w:val="4"/>
                          <w:jc w:val="center"/>
                          <w:rPr>
                            <w:rFonts w:ascii="Times New Roman" w:hAnsi="Times New Roman" w:cs="Times New Roman"/>
                            <w:sz w:val="28"/>
                            <w:szCs w:val="28"/>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PAGE   \* MERGEFORMAT</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zh-CN"/>
                          </w:rPr>
                          <w:t>1</w:t>
                        </w:r>
                        <w:r>
                          <w:rPr>
                            <w:rFonts w:hint="eastAsia" w:ascii="仿宋_GB2312" w:hAnsi="仿宋_GB2312" w:eastAsia="仿宋_GB2312" w:cs="仿宋_GB2312"/>
                            <w:sz w:val="32"/>
                            <w:szCs w:val="32"/>
                          </w:rPr>
                          <w:fldChar w:fldCharType="end"/>
                        </w:r>
                      </w:p>
                    </w:sdtContent>
                  </w:sdt>
                  <w:p w14:paraId="2B920B2E">
                    <w:pPr>
                      <w:rPr>
                        <w:rFonts w:ascii="Times New Roman" w:hAnsi="Times New Roman" w:cs="Times New Roman"/>
                        <w:sz w:val="28"/>
                        <w:szCs w:val="28"/>
                      </w:rPr>
                    </w:pPr>
                  </w:p>
                </w:txbxContent>
              </v:textbox>
            </v:shape>
          </w:pict>
        </mc:Fallback>
      </mc:AlternateContent>
    </w:r>
  </w:p>
  <w:p w14:paraId="512261FB">
    <w:pPr>
      <w:pStyle w:val="4"/>
      <w:jc w:val="center"/>
      <w:rPr>
        <w:rFonts w:ascii="Times New Roman" w:hAnsi="Times New Roman" w:cs="Times New Roman"/>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posOffset>5236210</wp:posOffset>
              </wp:positionH>
              <wp:positionV relativeFrom="paragraph">
                <wp:posOffset>-83820</wp:posOffset>
              </wp:positionV>
              <wp:extent cx="379730" cy="49276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379730" cy="492760"/>
                      </a:xfrm>
                      <a:prstGeom prst="rect">
                        <a:avLst/>
                      </a:prstGeom>
                      <a:noFill/>
                      <a:ln>
                        <a:noFill/>
                      </a:ln>
                    </wps:spPr>
                    <wps:txbx>
                      <w:txbxContent>
                        <w:p w14:paraId="25F8DAA2">
                          <w:pPr>
                            <w:pStyle w:val="4"/>
                            <w:jc w:val="center"/>
                            <w:rPr>
                              <w:rFonts w:ascii="Times New Roman" w:hAnsi="Times New Roman" w:cs="Times New Roman"/>
                              <w:sz w:val="28"/>
                              <w:szCs w:val="28"/>
                            </w:rPr>
                          </w:pPr>
                        </w:p>
                        <w:p w14:paraId="76EADA3B">
                          <w:pPr>
                            <w:rPr>
                              <w:rFonts w:ascii="Times New Roman" w:hAnsi="Times New Roman" w:cs="Times New Roman"/>
                              <w:sz w:val="28"/>
                              <w:szCs w:val="28"/>
                            </w:rPr>
                          </w:pPr>
                        </w:p>
                      </w:txbxContent>
                    </wps:txbx>
                    <wps:bodyPr lIns="0" tIns="0" rIns="0" bIns="0" upright="0"/>
                  </wps:wsp>
                </a:graphicData>
              </a:graphic>
            </wp:anchor>
          </w:drawing>
        </mc:Choice>
        <mc:Fallback>
          <w:pict>
            <v:shape id="文本框 1026" o:spid="_x0000_s1026" o:spt="202" type="#_x0000_t202" style="position:absolute;left:0pt;margin-left:412.3pt;margin-top:-6.6pt;height:38.8pt;width:29.9pt;mso-position-horizontal-relative:margin;z-index:251659264;mso-width-relative:page;mso-height-relative:page;" filled="f" stroked="f" coordsize="21600,21600" o:gfxdata="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ARFiq42QAAAAoBAAAPAAAAAAAAAAEAIAAAACIAAABkcnMvZG93bnJldi54bWxQ&#10;SwECFAAUAAAACACHTuJACUbhUL0BAAB0AwAADgAAAAAAAAABACAAAAAoAQAAZHJzL2Uyb0RvYy54&#10;bWxQSwUGAAAAAAYABgBZAQAAVwUAAAAA&#10;">
              <v:fill on="f" focussize="0,0"/>
              <v:stroke on="f"/>
              <v:imagedata o:title=""/>
              <o:lock v:ext="edit" aspectratio="f"/>
              <v:textbox inset="0mm,0mm,0mm,0mm">
                <w:txbxContent>
                  <w:p w14:paraId="25F8DAA2">
                    <w:pPr>
                      <w:pStyle w:val="4"/>
                      <w:jc w:val="center"/>
                      <w:rPr>
                        <w:rFonts w:ascii="Times New Roman" w:hAnsi="Times New Roman" w:cs="Times New Roman"/>
                        <w:sz w:val="28"/>
                        <w:szCs w:val="28"/>
                      </w:rPr>
                    </w:pPr>
                  </w:p>
                  <w:p w14:paraId="76EADA3B">
                    <w:pPr>
                      <w:rPr>
                        <w:rFonts w:ascii="Times New Roman" w:hAnsi="Times New Roman" w:cs="Times New Roman"/>
                        <w:sz w:val="28"/>
                        <w:szCs w:val="28"/>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NiOTliNWU4ZmZhYTdiMjY3NTM1MDcxZjk0ZmQ3MWEifQ=="/>
  </w:docVars>
  <w:rsids>
    <w:rsidRoot w:val="00255B44"/>
    <w:rsid w:val="00001395"/>
    <w:rsid w:val="00002CC3"/>
    <w:rsid w:val="00003D05"/>
    <w:rsid w:val="00006F54"/>
    <w:rsid w:val="00011347"/>
    <w:rsid w:val="000173E7"/>
    <w:rsid w:val="00025667"/>
    <w:rsid w:val="00025A58"/>
    <w:rsid w:val="00025EAC"/>
    <w:rsid w:val="000261EF"/>
    <w:rsid w:val="00026F78"/>
    <w:rsid w:val="00035931"/>
    <w:rsid w:val="000422BC"/>
    <w:rsid w:val="0005658D"/>
    <w:rsid w:val="00056856"/>
    <w:rsid w:val="00065A3D"/>
    <w:rsid w:val="00071C42"/>
    <w:rsid w:val="00090451"/>
    <w:rsid w:val="00093C6F"/>
    <w:rsid w:val="00095D6D"/>
    <w:rsid w:val="000A007E"/>
    <w:rsid w:val="000A7CD5"/>
    <w:rsid w:val="000B3F86"/>
    <w:rsid w:val="000B6330"/>
    <w:rsid w:val="000C43FC"/>
    <w:rsid w:val="000C5AF3"/>
    <w:rsid w:val="000C7B8F"/>
    <w:rsid w:val="000C7BC8"/>
    <w:rsid w:val="000D333D"/>
    <w:rsid w:val="000D4B17"/>
    <w:rsid w:val="000E0AED"/>
    <w:rsid w:val="000E1E8D"/>
    <w:rsid w:val="000F10FE"/>
    <w:rsid w:val="000F402B"/>
    <w:rsid w:val="000F515A"/>
    <w:rsid w:val="000F6B57"/>
    <w:rsid w:val="00101DFC"/>
    <w:rsid w:val="00102671"/>
    <w:rsid w:val="001209F7"/>
    <w:rsid w:val="00121EE3"/>
    <w:rsid w:val="00122AAD"/>
    <w:rsid w:val="001234D5"/>
    <w:rsid w:val="00124572"/>
    <w:rsid w:val="00124B4F"/>
    <w:rsid w:val="00126690"/>
    <w:rsid w:val="00127E5C"/>
    <w:rsid w:val="00135C90"/>
    <w:rsid w:val="00143467"/>
    <w:rsid w:val="001613C3"/>
    <w:rsid w:val="00164FD1"/>
    <w:rsid w:val="001864AA"/>
    <w:rsid w:val="00191293"/>
    <w:rsid w:val="0019285D"/>
    <w:rsid w:val="001A3C9D"/>
    <w:rsid w:val="001B35B7"/>
    <w:rsid w:val="001B3E95"/>
    <w:rsid w:val="001B4116"/>
    <w:rsid w:val="001B6B77"/>
    <w:rsid w:val="001B7C08"/>
    <w:rsid w:val="001C251D"/>
    <w:rsid w:val="001C3DE8"/>
    <w:rsid w:val="001C61D1"/>
    <w:rsid w:val="001D4550"/>
    <w:rsid w:val="001D669D"/>
    <w:rsid w:val="001E34FE"/>
    <w:rsid w:val="001E7DCE"/>
    <w:rsid w:val="002044C2"/>
    <w:rsid w:val="0020625E"/>
    <w:rsid w:val="002122FC"/>
    <w:rsid w:val="00215375"/>
    <w:rsid w:val="00216C9A"/>
    <w:rsid w:val="002237EB"/>
    <w:rsid w:val="0023693A"/>
    <w:rsid w:val="00243C15"/>
    <w:rsid w:val="00245C83"/>
    <w:rsid w:val="00247270"/>
    <w:rsid w:val="002473B1"/>
    <w:rsid w:val="0025266F"/>
    <w:rsid w:val="00255B44"/>
    <w:rsid w:val="00257354"/>
    <w:rsid w:val="002616ED"/>
    <w:rsid w:val="00263779"/>
    <w:rsid w:val="00263BF0"/>
    <w:rsid w:val="002650C5"/>
    <w:rsid w:val="002665F8"/>
    <w:rsid w:val="00266885"/>
    <w:rsid w:val="002714AB"/>
    <w:rsid w:val="00271878"/>
    <w:rsid w:val="00272CDA"/>
    <w:rsid w:val="002759B7"/>
    <w:rsid w:val="00283567"/>
    <w:rsid w:val="002844A3"/>
    <w:rsid w:val="0028507C"/>
    <w:rsid w:val="00286A12"/>
    <w:rsid w:val="0029185E"/>
    <w:rsid w:val="00291945"/>
    <w:rsid w:val="00293443"/>
    <w:rsid w:val="00295BCC"/>
    <w:rsid w:val="00297F14"/>
    <w:rsid w:val="002A5629"/>
    <w:rsid w:val="002B311C"/>
    <w:rsid w:val="002B35B2"/>
    <w:rsid w:val="002B3D8F"/>
    <w:rsid w:val="002B565E"/>
    <w:rsid w:val="002B7947"/>
    <w:rsid w:val="002C1A8F"/>
    <w:rsid w:val="002C576B"/>
    <w:rsid w:val="002C5804"/>
    <w:rsid w:val="002C6C09"/>
    <w:rsid w:val="002C7318"/>
    <w:rsid w:val="002D0B70"/>
    <w:rsid w:val="002D553B"/>
    <w:rsid w:val="002D7821"/>
    <w:rsid w:val="002F122A"/>
    <w:rsid w:val="002F3F2E"/>
    <w:rsid w:val="002F4B00"/>
    <w:rsid w:val="002F7069"/>
    <w:rsid w:val="002F75BF"/>
    <w:rsid w:val="002F785F"/>
    <w:rsid w:val="00300E66"/>
    <w:rsid w:val="0030333F"/>
    <w:rsid w:val="00303CF1"/>
    <w:rsid w:val="003120CF"/>
    <w:rsid w:val="00312AF2"/>
    <w:rsid w:val="00313B6E"/>
    <w:rsid w:val="00315225"/>
    <w:rsid w:val="0031532C"/>
    <w:rsid w:val="00320478"/>
    <w:rsid w:val="003236AF"/>
    <w:rsid w:val="00324606"/>
    <w:rsid w:val="00330BCD"/>
    <w:rsid w:val="003313B9"/>
    <w:rsid w:val="0033503D"/>
    <w:rsid w:val="00335DC7"/>
    <w:rsid w:val="00336D2F"/>
    <w:rsid w:val="00341531"/>
    <w:rsid w:val="0034246D"/>
    <w:rsid w:val="003438E8"/>
    <w:rsid w:val="00343ABA"/>
    <w:rsid w:val="00347943"/>
    <w:rsid w:val="00350DA8"/>
    <w:rsid w:val="00351F49"/>
    <w:rsid w:val="00353657"/>
    <w:rsid w:val="003542E0"/>
    <w:rsid w:val="00355F5C"/>
    <w:rsid w:val="003575BF"/>
    <w:rsid w:val="00365734"/>
    <w:rsid w:val="0036588D"/>
    <w:rsid w:val="00365BA4"/>
    <w:rsid w:val="00366C7A"/>
    <w:rsid w:val="00366DFA"/>
    <w:rsid w:val="00367798"/>
    <w:rsid w:val="0037201E"/>
    <w:rsid w:val="00375D00"/>
    <w:rsid w:val="00376379"/>
    <w:rsid w:val="003766E1"/>
    <w:rsid w:val="00381873"/>
    <w:rsid w:val="00381F09"/>
    <w:rsid w:val="00382414"/>
    <w:rsid w:val="003835E2"/>
    <w:rsid w:val="00391E5B"/>
    <w:rsid w:val="00392539"/>
    <w:rsid w:val="00395261"/>
    <w:rsid w:val="003A08F3"/>
    <w:rsid w:val="003B0C88"/>
    <w:rsid w:val="003B47F6"/>
    <w:rsid w:val="003B6F62"/>
    <w:rsid w:val="003C44D6"/>
    <w:rsid w:val="003D45B2"/>
    <w:rsid w:val="003D7AC0"/>
    <w:rsid w:val="003E1D9F"/>
    <w:rsid w:val="003E4488"/>
    <w:rsid w:val="003E661F"/>
    <w:rsid w:val="00401757"/>
    <w:rsid w:val="00403F13"/>
    <w:rsid w:val="004052CB"/>
    <w:rsid w:val="00406632"/>
    <w:rsid w:val="00407CB7"/>
    <w:rsid w:val="00411787"/>
    <w:rsid w:val="004144AB"/>
    <w:rsid w:val="00414A8F"/>
    <w:rsid w:val="0042032D"/>
    <w:rsid w:val="00423428"/>
    <w:rsid w:val="00433460"/>
    <w:rsid w:val="00445F3A"/>
    <w:rsid w:val="00447377"/>
    <w:rsid w:val="004519E4"/>
    <w:rsid w:val="00452C0C"/>
    <w:rsid w:val="0045341A"/>
    <w:rsid w:val="00455C4A"/>
    <w:rsid w:val="00476694"/>
    <w:rsid w:val="00483619"/>
    <w:rsid w:val="0048389C"/>
    <w:rsid w:val="0048490B"/>
    <w:rsid w:val="00486D47"/>
    <w:rsid w:val="0049385F"/>
    <w:rsid w:val="00496689"/>
    <w:rsid w:val="004A4006"/>
    <w:rsid w:val="004A74C8"/>
    <w:rsid w:val="004B0B19"/>
    <w:rsid w:val="004B12BD"/>
    <w:rsid w:val="004B1864"/>
    <w:rsid w:val="004B3001"/>
    <w:rsid w:val="004B3D36"/>
    <w:rsid w:val="004B5556"/>
    <w:rsid w:val="004B5611"/>
    <w:rsid w:val="004C1566"/>
    <w:rsid w:val="004C1841"/>
    <w:rsid w:val="004C4B7E"/>
    <w:rsid w:val="004C773A"/>
    <w:rsid w:val="004D2F90"/>
    <w:rsid w:val="004D36D9"/>
    <w:rsid w:val="004D48FC"/>
    <w:rsid w:val="004D5456"/>
    <w:rsid w:val="004E4CBB"/>
    <w:rsid w:val="004F1EBD"/>
    <w:rsid w:val="004F6B21"/>
    <w:rsid w:val="004F6BA2"/>
    <w:rsid w:val="005077DF"/>
    <w:rsid w:val="00510AE1"/>
    <w:rsid w:val="00511B15"/>
    <w:rsid w:val="00513B9E"/>
    <w:rsid w:val="0051438A"/>
    <w:rsid w:val="005206F7"/>
    <w:rsid w:val="0052278B"/>
    <w:rsid w:val="005312B1"/>
    <w:rsid w:val="00537FE4"/>
    <w:rsid w:val="00550B59"/>
    <w:rsid w:val="00551685"/>
    <w:rsid w:val="00557296"/>
    <w:rsid w:val="00561634"/>
    <w:rsid w:val="00562D7E"/>
    <w:rsid w:val="00564821"/>
    <w:rsid w:val="005660FC"/>
    <w:rsid w:val="00567BEC"/>
    <w:rsid w:val="00581AF2"/>
    <w:rsid w:val="005838D8"/>
    <w:rsid w:val="00590BC8"/>
    <w:rsid w:val="00593189"/>
    <w:rsid w:val="00595191"/>
    <w:rsid w:val="005973E3"/>
    <w:rsid w:val="005A2D76"/>
    <w:rsid w:val="005A412E"/>
    <w:rsid w:val="005B0D08"/>
    <w:rsid w:val="005B359F"/>
    <w:rsid w:val="005B6B19"/>
    <w:rsid w:val="005C09E7"/>
    <w:rsid w:val="005C6D54"/>
    <w:rsid w:val="005D4BFD"/>
    <w:rsid w:val="005D7CC3"/>
    <w:rsid w:val="005E2E9C"/>
    <w:rsid w:val="005E74D2"/>
    <w:rsid w:val="005F15A5"/>
    <w:rsid w:val="005F39C5"/>
    <w:rsid w:val="005F48BB"/>
    <w:rsid w:val="006053CB"/>
    <w:rsid w:val="006110BC"/>
    <w:rsid w:val="0061540B"/>
    <w:rsid w:val="00616464"/>
    <w:rsid w:val="00621A2E"/>
    <w:rsid w:val="00624B9E"/>
    <w:rsid w:val="00627ED4"/>
    <w:rsid w:val="00632EB1"/>
    <w:rsid w:val="00633B0C"/>
    <w:rsid w:val="00637484"/>
    <w:rsid w:val="006403E9"/>
    <w:rsid w:val="00654290"/>
    <w:rsid w:val="00654CD6"/>
    <w:rsid w:val="00662573"/>
    <w:rsid w:val="00663A05"/>
    <w:rsid w:val="0067233C"/>
    <w:rsid w:val="006801ED"/>
    <w:rsid w:val="0068248E"/>
    <w:rsid w:val="006826D1"/>
    <w:rsid w:val="00683371"/>
    <w:rsid w:val="00683926"/>
    <w:rsid w:val="00690A68"/>
    <w:rsid w:val="006966A2"/>
    <w:rsid w:val="006A0569"/>
    <w:rsid w:val="006A1133"/>
    <w:rsid w:val="006A3503"/>
    <w:rsid w:val="006A386E"/>
    <w:rsid w:val="006A3BDB"/>
    <w:rsid w:val="006A5B0D"/>
    <w:rsid w:val="006A6AD9"/>
    <w:rsid w:val="006A6E97"/>
    <w:rsid w:val="006B4899"/>
    <w:rsid w:val="006B5546"/>
    <w:rsid w:val="006B7EBD"/>
    <w:rsid w:val="006C028A"/>
    <w:rsid w:val="006C02AA"/>
    <w:rsid w:val="006C1B05"/>
    <w:rsid w:val="006C3CE1"/>
    <w:rsid w:val="006D0953"/>
    <w:rsid w:val="006D3BBB"/>
    <w:rsid w:val="006E18B0"/>
    <w:rsid w:val="006E3AAC"/>
    <w:rsid w:val="006E43DE"/>
    <w:rsid w:val="006E5651"/>
    <w:rsid w:val="006F02D1"/>
    <w:rsid w:val="006F2BB2"/>
    <w:rsid w:val="006F2E43"/>
    <w:rsid w:val="006F33F4"/>
    <w:rsid w:val="006F6A41"/>
    <w:rsid w:val="00704A47"/>
    <w:rsid w:val="007065DB"/>
    <w:rsid w:val="007106B7"/>
    <w:rsid w:val="0071124D"/>
    <w:rsid w:val="00711D82"/>
    <w:rsid w:val="00713CC8"/>
    <w:rsid w:val="00716477"/>
    <w:rsid w:val="00722127"/>
    <w:rsid w:val="0072514E"/>
    <w:rsid w:val="0072536E"/>
    <w:rsid w:val="00727013"/>
    <w:rsid w:val="0073050F"/>
    <w:rsid w:val="00731721"/>
    <w:rsid w:val="007321B9"/>
    <w:rsid w:val="007331E6"/>
    <w:rsid w:val="007348FD"/>
    <w:rsid w:val="0073638D"/>
    <w:rsid w:val="00736B2C"/>
    <w:rsid w:val="007376BE"/>
    <w:rsid w:val="00741E48"/>
    <w:rsid w:val="0074333A"/>
    <w:rsid w:val="00745448"/>
    <w:rsid w:val="0074552A"/>
    <w:rsid w:val="00745635"/>
    <w:rsid w:val="007478AD"/>
    <w:rsid w:val="00747F04"/>
    <w:rsid w:val="00751F66"/>
    <w:rsid w:val="00754A7E"/>
    <w:rsid w:val="00755776"/>
    <w:rsid w:val="00757A7B"/>
    <w:rsid w:val="007612B1"/>
    <w:rsid w:val="0076465F"/>
    <w:rsid w:val="00764675"/>
    <w:rsid w:val="00765205"/>
    <w:rsid w:val="00771626"/>
    <w:rsid w:val="007755BD"/>
    <w:rsid w:val="00780442"/>
    <w:rsid w:val="00785994"/>
    <w:rsid w:val="00791952"/>
    <w:rsid w:val="00794983"/>
    <w:rsid w:val="007954FE"/>
    <w:rsid w:val="00796504"/>
    <w:rsid w:val="00797951"/>
    <w:rsid w:val="007A00A2"/>
    <w:rsid w:val="007A1821"/>
    <w:rsid w:val="007A7691"/>
    <w:rsid w:val="007B37DB"/>
    <w:rsid w:val="007B4153"/>
    <w:rsid w:val="007B790F"/>
    <w:rsid w:val="007D4564"/>
    <w:rsid w:val="007E3A81"/>
    <w:rsid w:val="007E63D5"/>
    <w:rsid w:val="007F3F0A"/>
    <w:rsid w:val="007F7E35"/>
    <w:rsid w:val="0080293B"/>
    <w:rsid w:val="00807A17"/>
    <w:rsid w:val="0081011E"/>
    <w:rsid w:val="008108A7"/>
    <w:rsid w:val="00810C34"/>
    <w:rsid w:val="00813F86"/>
    <w:rsid w:val="0082096F"/>
    <w:rsid w:val="00823B8B"/>
    <w:rsid w:val="00831E05"/>
    <w:rsid w:val="00832B4C"/>
    <w:rsid w:val="0083772E"/>
    <w:rsid w:val="00840028"/>
    <w:rsid w:val="00846A74"/>
    <w:rsid w:val="008477F2"/>
    <w:rsid w:val="00851090"/>
    <w:rsid w:val="008534EA"/>
    <w:rsid w:val="00860162"/>
    <w:rsid w:val="00861E66"/>
    <w:rsid w:val="0086747A"/>
    <w:rsid w:val="00874642"/>
    <w:rsid w:val="0087478F"/>
    <w:rsid w:val="00890D7A"/>
    <w:rsid w:val="00893104"/>
    <w:rsid w:val="00893447"/>
    <w:rsid w:val="008A07FB"/>
    <w:rsid w:val="008A6847"/>
    <w:rsid w:val="008A75C3"/>
    <w:rsid w:val="008B02D3"/>
    <w:rsid w:val="008B166E"/>
    <w:rsid w:val="008B5628"/>
    <w:rsid w:val="008B6028"/>
    <w:rsid w:val="008C4786"/>
    <w:rsid w:val="008D51C7"/>
    <w:rsid w:val="008D7869"/>
    <w:rsid w:val="008D7B4A"/>
    <w:rsid w:val="008E01F3"/>
    <w:rsid w:val="008E4B82"/>
    <w:rsid w:val="00902A11"/>
    <w:rsid w:val="009049AB"/>
    <w:rsid w:val="009056AB"/>
    <w:rsid w:val="00912246"/>
    <w:rsid w:val="00912296"/>
    <w:rsid w:val="0091385B"/>
    <w:rsid w:val="00913977"/>
    <w:rsid w:val="00913F21"/>
    <w:rsid w:val="00914B98"/>
    <w:rsid w:val="00917BC0"/>
    <w:rsid w:val="00923004"/>
    <w:rsid w:val="00924C1B"/>
    <w:rsid w:val="00933243"/>
    <w:rsid w:val="00933318"/>
    <w:rsid w:val="00952C53"/>
    <w:rsid w:val="00954EF8"/>
    <w:rsid w:val="00956E5B"/>
    <w:rsid w:val="009622C4"/>
    <w:rsid w:val="00966E06"/>
    <w:rsid w:val="00967BC7"/>
    <w:rsid w:val="009700E4"/>
    <w:rsid w:val="00970439"/>
    <w:rsid w:val="00971272"/>
    <w:rsid w:val="00972461"/>
    <w:rsid w:val="00981CD0"/>
    <w:rsid w:val="00996673"/>
    <w:rsid w:val="00996BA8"/>
    <w:rsid w:val="009973A5"/>
    <w:rsid w:val="009A451C"/>
    <w:rsid w:val="009C0CB9"/>
    <w:rsid w:val="009C1754"/>
    <w:rsid w:val="009C19F9"/>
    <w:rsid w:val="009C20A3"/>
    <w:rsid w:val="009C2CAB"/>
    <w:rsid w:val="009C6A23"/>
    <w:rsid w:val="009D2251"/>
    <w:rsid w:val="009D724C"/>
    <w:rsid w:val="009E0516"/>
    <w:rsid w:val="009E1A8A"/>
    <w:rsid w:val="009E2045"/>
    <w:rsid w:val="009E4BD4"/>
    <w:rsid w:val="009E6B60"/>
    <w:rsid w:val="009E71E7"/>
    <w:rsid w:val="009F3792"/>
    <w:rsid w:val="00A128FA"/>
    <w:rsid w:val="00A20777"/>
    <w:rsid w:val="00A27E44"/>
    <w:rsid w:val="00A32713"/>
    <w:rsid w:val="00A40920"/>
    <w:rsid w:val="00A40D8D"/>
    <w:rsid w:val="00A471D1"/>
    <w:rsid w:val="00A50BD1"/>
    <w:rsid w:val="00A50D0E"/>
    <w:rsid w:val="00A51251"/>
    <w:rsid w:val="00A613CD"/>
    <w:rsid w:val="00A619FF"/>
    <w:rsid w:val="00A62F1E"/>
    <w:rsid w:val="00A749A2"/>
    <w:rsid w:val="00A94174"/>
    <w:rsid w:val="00A974C1"/>
    <w:rsid w:val="00AA36CA"/>
    <w:rsid w:val="00AB0734"/>
    <w:rsid w:val="00AB0985"/>
    <w:rsid w:val="00AB3ECD"/>
    <w:rsid w:val="00AC307A"/>
    <w:rsid w:val="00AC3639"/>
    <w:rsid w:val="00AC58F2"/>
    <w:rsid w:val="00AC5FF7"/>
    <w:rsid w:val="00AD397C"/>
    <w:rsid w:val="00AD55A8"/>
    <w:rsid w:val="00AD5DCA"/>
    <w:rsid w:val="00AD741C"/>
    <w:rsid w:val="00AE0BB5"/>
    <w:rsid w:val="00AE3FA5"/>
    <w:rsid w:val="00AF0A96"/>
    <w:rsid w:val="00AF25FD"/>
    <w:rsid w:val="00AF320F"/>
    <w:rsid w:val="00B01564"/>
    <w:rsid w:val="00B030EC"/>
    <w:rsid w:val="00B059DA"/>
    <w:rsid w:val="00B076A8"/>
    <w:rsid w:val="00B11CF1"/>
    <w:rsid w:val="00B13D0E"/>
    <w:rsid w:val="00B23D44"/>
    <w:rsid w:val="00B33BA1"/>
    <w:rsid w:val="00B625E5"/>
    <w:rsid w:val="00B63C06"/>
    <w:rsid w:val="00B670EF"/>
    <w:rsid w:val="00B767B5"/>
    <w:rsid w:val="00B95E3E"/>
    <w:rsid w:val="00BA09D3"/>
    <w:rsid w:val="00BA52DD"/>
    <w:rsid w:val="00BB1640"/>
    <w:rsid w:val="00BB1D5D"/>
    <w:rsid w:val="00BB357B"/>
    <w:rsid w:val="00BB6A3D"/>
    <w:rsid w:val="00BB7973"/>
    <w:rsid w:val="00BB7B63"/>
    <w:rsid w:val="00BB7CCB"/>
    <w:rsid w:val="00BC1E63"/>
    <w:rsid w:val="00BC2660"/>
    <w:rsid w:val="00BD06E6"/>
    <w:rsid w:val="00BD3D40"/>
    <w:rsid w:val="00BD4D91"/>
    <w:rsid w:val="00BD7CBB"/>
    <w:rsid w:val="00BE3DA8"/>
    <w:rsid w:val="00BE70D8"/>
    <w:rsid w:val="00BF147B"/>
    <w:rsid w:val="00BF1B5A"/>
    <w:rsid w:val="00BF380C"/>
    <w:rsid w:val="00C059C0"/>
    <w:rsid w:val="00C05A3A"/>
    <w:rsid w:val="00C0607E"/>
    <w:rsid w:val="00C10FC7"/>
    <w:rsid w:val="00C172D2"/>
    <w:rsid w:val="00C17B4E"/>
    <w:rsid w:val="00C17EF9"/>
    <w:rsid w:val="00C22924"/>
    <w:rsid w:val="00C316C2"/>
    <w:rsid w:val="00C37CE6"/>
    <w:rsid w:val="00C43E83"/>
    <w:rsid w:val="00C44E55"/>
    <w:rsid w:val="00C46582"/>
    <w:rsid w:val="00C55D76"/>
    <w:rsid w:val="00C5736D"/>
    <w:rsid w:val="00C64C39"/>
    <w:rsid w:val="00C65EFB"/>
    <w:rsid w:val="00C67588"/>
    <w:rsid w:val="00C71F40"/>
    <w:rsid w:val="00C75100"/>
    <w:rsid w:val="00C75B91"/>
    <w:rsid w:val="00C7744A"/>
    <w:rsid w:val="00C800D8"/>
    <w:rsid w:val="00C9013F"/>
    <w:rsid w:val="00C93E1F"/>
    <w:rsid w:val="00CA1A0D"/>
    <w:rsid w:val="00CA4587"/>
    <w:rsid w:val="00CA7A16"/>
    <w:rsid w:val="00CB0A04"/>
    <w:rsid w:val="00CB65B3"/>
    <w:rsid w:val="00CC05D9"/>
    <w:rsid w:val="00CC25DD"/>
    <w:rsid w:val="00CC3106"/>
    <w:rsid w:val="00CC359B"/>
    <w:rsid w:val="00CD59F6"/>
    <w:rsid w:val="00CD74F6"/>
    <w:rsid w:val="00CD7C64"/>
    <w:rsid w:val="00CE1287"/>
    <w:rsid w:val="00CE46B8"/>
    <w:rsid w:val="00CE55EB"/>
    <w:rsid w:val="00CE7886"/>
    <w:rsid w:val="00CF0AEB"/>
    <w:rsid w:val="00CF39C9"/>
    <w:rsid w:val="00CF3F0D"/>
    <w:rsid w:val="00CF518E"/>
    <w:rsid w:val="00D011F9"/>
    <w:rsid w:val="00D01BF1"/>
    <w:rsid w:val="00D02CA9"/>
    <w:rsid w:val="00D04E8D"/>
    <w:rsid w:val="00D05CEF"/>
    <w:rsid w:val="00D1320E"/>
    <w:rsid w:val="00D2733B"/>
    <w:rsid w:val="00D37B32"/>
    <w:rsid w:val="00D37F92"/>
    <w:rsid w:val="00D4651A"/>
    <w:rsid w:val="00D52466"/>
    <w:rsid w:val="00D5309D"/>
    <w:rsid w:val="00D53659"/>
    <w:rsid w:val="00D53BB7"/>
    <w:rsid w:val="00D55979"/>
    <w:rsid w:val="00D56BC7"/>
    <w:rsid w:val="00D63FD3"/>
    <w:rsid w:val="00D67464"/>
    <w:rsid w:val="00D71535"/>
    <w:rsid w:val="00D87E42"/>
    <w:rsid w:val="00D91E67"/>
    <w:rsid w:val="00D967F9"/>
    <w:rsid w:val="00DA0DF0"/>
    <w:rsid w:val="00DA4AA3"/>
    <w:rsid w:val="00DB11C9"/>
    <w:rsid w:val="00DB2998"/>
    <w:rsid w:val="00DB4163"/>
    <w:rsid w:val="00DC2927"/>
    <w:rsid w:val="00DC40D3"/>
    <w:rsid w:val="00DC4A8F"/>
    <w:rsid w:val="00DD063B"/>
    <w:rsid w:val="00DD191C"/>
    <w:rsid w:val="00DE12BE"/>
    <w:rsid w:val="00DE7C87"/>
    <w:rsid w:val="00DF6485"/>
    <w:rsid w:val="00E0173C"/>
    <w:rsid w:val="00E05EBF"/>
    <w:rsid w:val="00E10480"/>
    <w:rsid w:val="00E10B1F"/>
    <w:rsid w:val="00E11C99"/>
    <w:rsid w:val="00E1542D"/>
    <w:rsid w:val="00E23C24"/>
    <w:rsid w:val="00E24EFF"/>
    <w:rsid w:val="00E32032"/>
    <w:rsid w:val="00E36588"/>
    <w:rsid w:val="00E40972"/>
    <w:rsid w:val="00E526E2"/>
    <w:rsid w:val="00E5543E"/>
    <w:rsid w:val="00E657C9"/>
    <w:rsid w:val="00E65F47"/>
    <w:rsid w:val="00E66ABF"/>
    <w:rsid w:val="00E70DC4"/>
    <w:rsid w:val="00E769A8"/>
    <w:rsid w:val="00E819D8"/>
    <w:rsid w:val="00E84D61"/>
    <w:rsid w:val="00E86231"/>
    <w:rsid w:val="00E917F6"/>
    <w:rsid w:val="00E94E04"/>
    <w:rsid w:val="00E95238"/>
    <w:rsid w:val="00EA614F"/>
    <w:rsid w:val="00EA6FEE"/>
    <w:rsid w:val="00EA752D"/>
    <w:rsid w:val="00EB0097"/>
    <w:rsid w:val="00EB0F9A"/>
    <w:rsid w:val="00EB2B4D"/>
    <w:rsid w:val="00EB7277"/>
    <w:rsid w:val="00EC109A"/>
    <w:rsid w:val="00EC4AA5"/>
    <w:rsid w:val="00EC4CC4"/>
    <w:rsid w:val="00EC4E5D"/>
    <w:rsid w:val="00ED0114"/>
    <w:rsid w:val="00ED062B"/>
    <w:rsid w:val="00ED1F36"/>
    <w:rsid w:val="00ED42BB"/>
    <w:rsid w:val="00EE58A2"/>
    <w:rsid w:val="00EE60C6"/>
    <w:rsid w:val="00EF164C"/>
    <w:rsid w:val="00EF2E23"/>
    <w:rsid w:val="00EF77DA"/>
    <w:rsid w:val="00F04724"/>
    <w:rsid w:val="00F052CE"/>
    <w:rsid w:val="00F116B0"/>
    <w:rsid w:val="00F13B88"/>
    <w:rsid w:val="00F21452"/>
    <w:rsid w:val="00F235AD"/>
    <w:rsid w:val="00F252BD"/>
    <w:rsid w:val="00F27246"/>
    <w:rsid w:val="00F32847"/>
    <w:rsid w:val="00F33AEA"/>
    <w:rsid w:val="00F34152"/>
    <w:rsid w:val="00F35A19"/>
    <w:rsid w:val="00F477F1"/>
    <w:rsid w:val="00F50A81"/>
    <w:rsid w:val="00F52223"/>
    <w:rsid w:val="00F53A08"/>
    <w:rsid w:val="00F619A0"/>
    <w:rsid w:val="00F62F4D"/>
    <w:rsid w:val="00F651E3"/>
    <w:rsid w:val="00F66F92"/>
    <w:rsid w:val="00F74223"/>
    <w:rsid w:val="00F751CC"/>
    <w:rsid w:val="00F77BCC"/>
    <w:rsid w:val="00F827E3"/>
    <w:rsid w:val="00F86BF6"/>
    <w:rsid w:val="00F91A0C"/>
    <w:rsid w:val="00F92171"/>
    <w:rsid w:val="00F935E4"/>
    <w:rsid w:val="00FA1CA9"/>
    <w:rsid w:val="00FB2A40"/>
    <w:rsid w:val="00FB4774"/>
    <w:rsid w:val="00FC0C4B"/>
    <w:rsid w:val="00FD5033"/>
    <w:rsid w:val="00FD5611"/>
    <w:rsid w:val="00FD68DD"/>
    <w:rsid w:val="00FE194E"/>
    <w:rsid w:val="00FE494A"/>
    <w:rsid w:val="00FF1E0E"/>
    <w:rsid w:val="00FF2A84"/>
    <w:rsid w:val="00FF68DD"/>
    <w:rsid w:val="01965E40"/>
    <w:rsid w:val="01A84E66"/>
    <w:rsid w:val="03D90AD7"/>
    <w:rsid w:val="04456DD7"/>
    <w:rsid w:val="05A27CD1"/>
    <w:rsid w:val="06EC7EC7"/>
    <w:rsid w:val="08FB7534"/>
    <w:rsid w:val="09522E35"/>
    <w:rsid w:val="137D71B0"/>
    <w:rsid w:val="14E95918"/>
    <w:rsid w:val="159272EB"/>
    <w:rsid w:val="17101620"/>
    <w:rsid w:val="175E3498"/>
    <w:rsid w:val="183735A3"/>
    <w:rsid w:val="18515299"/>
    <w:rsid w:val="1AFA4ED6"/>
    <w:rsid w:val="1C496137"/>
    <w:rsid w:val="21E73F11"/>
    <w:rsid w:val="282402D9"/>
    <w:rsid w:val="28E40532"/>
    <w:rsid w:val="30A52729"/>
    <w:rsid w:val="343F112B"/>
    <w:rsid w:val="3577042C"/>
    <w:rsid w:val="39370B4E"/>
    <w:rsid w:val="3E090EF4"/>
    <w:rsid w:val="42D2661E"/>
    <w:rsid w:val="44D72D20"/>
    <w:rsid w:val="44F43C03"/>
    <w:rsid w:val="48BE6766"/>
    <w:rsid w:val="4D48652A"/>
    <w:rsid w:val="4F9D2355"/>
    <w:rsid w:val="4FCE2CF5"/>
    <w:rsid w:val="506C1FA7"/>
    <w:rsid w:val="56A532FF"/>
    <w:rsid w:val="5C535567"/>
    <w:rsid w:val="5EFC0414"/>
    <w:rsid w:val="61D62CA2"/>
    <w:rsid w:val="64DB5401"/>
    <w:rsid w:val="6CCB2B49"/>
    <w:rsid w:val="6F8D5D67"/>
    <w:rsid w:val="73B7719E"/>
    <w:rsid w:val="7A427982"/>
    <w:rsid w:val="7E047D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12"/>
    <w:qFormat/>
    <w:uiPriority w:val="0"/>
    <w:rPr>
      <w:rFonts w:ascii="宋体" w:eastAsia="宋体"/>
      <w:sz w:val="18"/>
      <w:szCs w:val="18"/>
    </w:rPr>
  </w:style>
  <w:style w:type="paragraph" w:styleId="3">
    <w:name w:val="Balloon Text"/>
    <w:basedOn w:val="1"/>
    <w:link w:val="14"/>
    <w:qFormat/>
    <w:uiPriority w:val="0"/>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basedOn w:val="8"/>
    <w:qFormat/>
    <w:uiPriority w:val="0"/>
    <w:rPr>
      <w:color w:val="0000FF"/>
      <w:u w:val="single"/>
    </w:rPr>
  </w:style>
  <w:style w:type="character" w:customStyle="1" w:styleId="10">
    <w:name w:val="页眉 Char"/>
    <w:basedOn w:val="8"/>
    <w:link w:val="5"/>
    <w:qFormat/>
    <w:uiPriority w:val="0"/>
    <w:rPr>
      <w:rFonts w:asciiTheme="minorHAnsi" w:hAnsiTheme="minorHAnsi" w:eastAsiaTheme="minorEastAsia" w:cstheme="minorBidi"/>
      <w:kern w:val="2"/>
      <w:sz w:val="18"/>
      <w:szCs w:val="18"/>
    </w:rPr>
  </w:style>
  <w:style w:type="character" w:customStyle="1" w:styleId="11">
    <w:name w:val="页脚 Char"/>
    <w:basedOn w:val="8"/>
    <w:link w:val="4"/>
    <w:qFormat/>
    <w:uiPriority w:val="99"/>
    <w:rPr>
      <w:rFonts w:asciiTheme="minorHAnsi" w:hAnsiTheme="minorHAnsi" w:eastAsiaTheme="minorEastAsia" w:cstheme="minorBidi"/>
      <w:kern w:val="2"/>
      <w:sz w:val="18"/>
      <w:szCs w:val="18"/>
    </w:rPr>
  </w:style>
  <w:style w:type="character" w:customStyle="1" w:styleId="12">
    <w:name w:val="文档结构图 Char"/>
    <w:basedOn w:val="8"/>
    <w:link w:val="2"/>
    <w:qFormat/>
    <w:uiPriority w:val="0"/>
    <w:rPr>
      <w:rFonts w:ascii="宋体" w:hAnsiTheme="minorHAnsi" w:cstheme="minorBidi"/>
      <w:kern w:val="2"/>
      <w:sz w:val="18"/>
      <w:szCs w:val="18"/>
    </w:rPr>
  </w:style>
  <w:style w:type="paragraph" w:customStyle="1" w:styleId="13">
    <w:name w:val="列表段落1"/>
    <w:basedOn w:val="1"/>
    <w:unhideWhenUsed/>
    <w:qFormat/>
    <w:uiPriority w:val="99"/>
    <w:pPr>
      <w:ind w:firstLine="420" w:firstLineChars="200"/>
    </w:pPr>
  </w:style>
  <w:style w:type="character" w:customStyle="1" w:styleId="14">
    <w:name w:val="批注框文本 Char"/>
    <w:basedOn w:val="8"/>
    <w:link w:val="3"/>
    <w:qFormat/>
    <w:uiPriority w:val="0"/>
    <w:rPr>
      <w:rFonts w:asciiTheme="minorHAnsi" w:hAnsiTheme="minorHAnsi" w:eastAsiaTheme="minorEastAsia" w:cstheme="minorBidi"/>
      <w:kern w:val="2"/>
      <w:sz w:val="18"/>
      <w:szCs w:val="18"/>
    </w:rPr>
  </w:style>
  <w:style w:type="paragraph" w:customStyle="1" w:styleId="15">
    <w:name w:val="修订1"/>
    <w:hidden/>
    <w:semiHidden/>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61F1DCE-6CCF-479D-9DE0-1B64D6047CD6}">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1067</Words>
  <Characters>1127</Characters>
  <Lines>7</Lines>
  <Paragraphs>2</Paragraphs>
  <TotalTime>22</TotalTime>
  <ScaleCrop>false</ScaleCrop>
  <LinksUpToDate>false</LinksUpToDate>
  <CharactersWithSpaces>1130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2021-01-07T07:36:00Z</dcterms:created>
  <dc:creator>王立志</dc:creator>
  <cp:lastModifiedBy>愛殇璃</cp:lastModifiedBy>
  <cp:lastPrinted>2025-08-13T01:15:00Z</cp:lastPrinted>
  <dcterms:modified xsi:type="dcterms:W3CDTF">2025-08-13T08:37:33Z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FC78CE8F36E84057B256F68351F1D778_13</vt:lpwstr>
  </property>
  <property fmtid="{D5CDD505-2E9C-101B-9397-08002B2CF9AE}" pid="4" name="KSOTemplateDocerSaveRecord">
    <vt:lpwstr>eyJoZGlkIjoiOWNiOTliNWU4ZmZhYTdiMjY3NTM1MDcxZjk0ZmQ3MWEiLCJ1c2VySWQiOiIxMDAzODkwOTA5In0=</vt:lpwstr>
  </property>
</Properties>
</file>