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246C">
      <w:pPr>
        <w:spacing w:after="0" w:line="680" w:lineRule="exact"/>
        <w:jc w:val="center"/>
        <w:rPr>
          <w:rFonts w:hint="eastAsia"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14:paraId="21041E80">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bookmarkEnd w:id="0"/>
    </w:p>
    <w:p w14:paraId="3612D1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0AED43B8">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 w:eastAsia="仿宋_GB2312" w:cs="Times New Roman"/>
          <w:color w:val="000000"/>
          <w:kern w:val="2"/>
          <w:sz w:val="32"/>
          <w:szCs w:val="32"/>
        </w:rPr>
      </w:pPr>
      <w:bookmarkStart w:id="1" w:name="_Hlk33122243"/>
      <w:r>
        <w:rPr>
          <w:rFonts w:hint="eastAsia" w:ascii="仿宋_GB2312" w:hAnsi="仿宋" w:eastAsia="仿宋_GB2312" w:cs="Times New Roman"/>
          <w:color w:val="000000"/>
          <w:kern w:val="2"/>
          <w:sz w:val="32"/>
          <w:szCs w:val="32"/>
        </w:rPr>
        <w:t>周征补告字〔2025〕</w:t>
      </w:r>
      <w:bookmarkEnd w:id="1"/>
      <w:r>
        <w:rPr>
          <w:rFonts w:hint="eastAsia" w:ascii="仿宋_GB2312" w:hAnsi="仿宋" w:eastAsia="仿宋_GB2312" w:cs="Times New Roman"/>
          <w:color w:val="000000"/>
          <w:kern w:val="2"/>
          <w:sz w:val="32"/>
          <w:szCs w:val="32"/>
        </w:rPr>
        <w:t>第</w:t>
      </w:r>
      <w:r>
        <w:rPr>
          <w:rFonts w:hint="eastAsia" w:ascii="仿宋_GB2312" w:hAnsi="仿宋" w:eastAsia="仿宋_GB2312" w:cs="Times New Roman"/>
          <w:color w:val="000000"/>
          <w:kern w:val="2"/>
          <w:sz w:val="32"/>
          <w:szCs w:val="32"/>
          <w:lang w:val="en-US" w:eastAsia="zh-CN"/>
        </w:rPr>
        <w:t>15-1</w:t>
      </w:r>
      <w:r>
        <w:rPr>
          <w:rFonts w:hint="eastAsia" w:ascii="仿宋_GB2312" w:hAnsi="仿宋" w:eastAsia="仿宋_GB2312" w:cs="Times New Roman"/>
          <w:color w:val="000000"/>
          <w:kern w:val="2"/>
          <w:sz w:val="32"/>
          <w:szCs w:val="32"/>
        </w:rPr>
        <w:t>号</w:t>
      </w:r>
    </w:p>
    <w:p w14:paraId="4B4B98D3">
      <w:pPr>
        <w:keepNext w:val="0"/>
        <w:keepLines w:val="0"/>
        <w:pageBreakBefore w:val="0"/>
        <w:widowControl w:val="0"/>
        <w:kinsoku/>
        <w:wordWrap/>
        <w:overflowPunct/>
        <w:topLinePunct w:val="0"/>
        <w:autoSpaceDE/>
        <w:autoSpaceDN/>
        <w:bidi w:val="0"/>
        <w:adjustRightInd/>
        <w:snapToGrid/>
        <w:spacing w:after="0" w:line="300" w:lineRule="exact"/>
        <w:ind w:firstLine="640" w:firstLineChars="200"/>
        <w:jc w:val="both"/>
        <w:textAlignment w:val="auto"/>
        <w:rPr>
          <w:rFonts w:hint="eastAsia" w:ascii="仿宋_GB2312" w:hAnsi="仿宋" w:eastAsia="仿宋_GB2312" w:cs="Times New Roman"/>
          <w:kern w:val="2"/>
          <w:sz w:val="32"/>
          <w:szCs w:val="32"/>
        </w:rPr>
      </w:pPr>
    </w:p>
    <w:p w14:paraId="2E32AC3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905CAD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1E42920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7AE9428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kern w:val="2"/>
          <w:sz w:val="32"/>
          <w:szCs w:val="32"/>
        </w:rPr>
        <w:t>周至县集贤镇</w:t>
      </w:r>
      <w:r>
        <w:rPr>
          <w:rFonts w:hint="eastAsia" w:ascii="仿宋_GB2312" w:hAnsi="仿宋_GB2312" w:eastAsia="仿宋_GB2312" w:cs="仿宋_GB2312"/>
          <w:kern w:val="2"/>
          <w:sz w:val="32"/>
          <w:szCs w:val="32"/>
          <w:lang w:val="en-US" w:eastAsia="zh-CN"/>
        </w:rPr>
        <w:t>东</w:t>
      </w:r>
      <w:r>
        <w:rPr>
          <w:rFonts w:hint="eastAsia" w:ascii="仿宋_GB2312" w:hAnsi="仿宋_GB2312" w:eastAsia="仿宋_GB2312" w:cs="仿宋_GB2312"/>
          <w:kern w:val="2"/>
          <w:sz w:val="32"/>
          <w:szCs w:val="32"/>
        </w:rPr>
        <w:t>村</w:t>
      </w:r>
      <w:r>
        <w:rPr>
          <w:rFonts w:hint="eastAsia" w:ascii="仿宋_GB2312" w:hAnsi="仿宋_GB2312" w:eastAsia="仿宋_GB2312" w:cs="仿宋_GB2312"/>
          <w:sz w:val="32"/>
          <w:szCs w:val="32"/>
        </w:rPr>
        <w:t>范围内</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拟征收土地面积</w:t>
      </w:r>
      <w:r>
        <w:rPr>
          <w:rFonts w:hint="eastAsia" w:ascii="仿宋_GB2312" w:hAnsi="仿宋_GB2312" w:eastAsia="仿宋_GB2312" w:cs="仿宋_GB2312"/>
          <w:sz w:val="32"/>
          <w:szCs w:val="32"/>
          <w:lang w:val="en-US" w:eastAsia="zh-CN"/>
        </w:rPr>
        <w:t>1.0496</w:t>
      </w:r>
      <w:r>
        <w:rPr>
          <w:rFonts w:hint="eastAsia" w:ascii="仿宋_GB2312" w:hAnsi="仿宋_GB2312" w:eastAsia="仿宋_GB2312" w:cs="仿宋_GB2312"/>
          <w:sz w:val="32"/>
          <w:szCs w:val="32"/>
        </w:rPr>
        <w:t>公顷。</w:t>
      </w:r>
    </w:p>
    <w:p w14:paraId="61A9238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30C4FC2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本次拟征收土地的权属、地类、面积如下：</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202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0099B7E">
            <w:pPr>
              <w:tabs>
                <w:tab w:val="left" w:pos="465"/>
              </w:tabs>
              <w:spacing w:after="0"/>
              <w:jc w:val="center"/>
              <w:rPr>
                <w:rFonts w:ascii="仿宋_GB2312" w:eastAsia="仿宋_GB2312"/>
                <w:sz w:val="24"/>
              </w:rPr>
            </w:pPr>
            <w:r>
              <w:rPr>
                <w:rFonts w:hint="eastAsia" w:ascii="仿宋_GB2312" w:eastAsia="仿宋_GB2312"/>
                <w:sz w:val="24"/>
              </w:rPr>
              <w:t>权属</w:t>
            </w:r>
          </w:p>
          <w:p w14:paraId="5B9EDCE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788D8998">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8E479D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110C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952D4A7">
            <w:pPr>
              <w:tabs>
                <w:tab w:val="left" w:pos="465"/>
              </w:tabs>
              <w:spacing w:after="0"/>
              <w:jc w:val="center"/>
              <w:rPr>
                <w:rFonts w:ascii="仿宋_GB2312" w:eastAsia="仿宋_GB2312"/>
                <w:sz w:val="24"/>
              </w:rPr>
            </w:pPr>
          </w:p>
        </w:tc>
        <w:tc>
          <w:tcPr>
            <w:tcW w:w="1727" w:type="pct"/>
            <w:vMerge w:val="continue"/>
            <w:vAlign w:val="center"/>
          </w:tcPr>
          <w:p w14:paraId="79B51150">
            <w:pPr>
              <w:tabs>
                <w:tab w:val="left" w:pos="465"/>
              </w:tabs>
              <w:spacing w:after="0"/>
              <w:jc w:val="center"/>
              <w:rPr>
                <w:rFonts w:ascii="仿宋_GB2312" w:eastAsia="仿宋_GB2312"/>
                <w:sz w:val="24"/>
              </w:rPr>
            </w:pPr>
          </w:p>
        </w:tc>
        <w:tc>
          <w:tcPr>
            <w:tcW w:w="1620" w:type="pct"/>
            <w:vMerge w:val="continue"/>
            <w:vAlign w:val="center"/>
          </w:tcPr>
          <w:p w14:paraId="326613A3">
            <w:pPr>
              <w:tabs>
                <w:tab w:val="left" w:pos="465"/>
              </w:tabs>
              <w:spacing w:after="0"/>
              <w:jc w:val="center"/>
              <w:rPr>
                <w:rFonts w:ascii="仿宋_GB2312" w:eastAsia="仿宋_GB2312"/>
                <w:sz w:val="24"/>
              </w:rPr>
            </w:pPr>
          </w:p>
        </w:tc>
      </w:tr>
      <w:tr w14:paraId="293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restart"/>
            <w:vAlign w:val="center"/>
          </w:tcPr>
          <w:p w14:paraId="1AEDE528">
            <w:pPr>
              <w:tabs>
                <w:tab w:val="left" w:pos="465"/>
              </w:tabs>
              <w:spacing w:after="0"/>
              <w:jc w:val="center"/>
              <w:rPr>
                <w:rFonts w:ascii="仿宋_GB2312" w:eastAsia="仿宋_GB2312"/>
                <w:sz w:val="24"/>
              </w:rPr>
            </w:pPr>
            <w:r>
              <w:rPr>
                <w:rFonts w:hint="eastAsia" w:ascii="仿宋_GB2312" w:eastAsia="仿宋_GB2312"/>
                <w:sz w:val="24"/>
              </w:rPr>
              <w:t>集贤镇东村</w:t>
            </w:r>
          </w:p>
        </w:tc>
        <w:tc>
          <w:tcPr>
            <w:tcW w:w="1727" w:type="pct"/>
            <w:vAlign w:val="center"/>
          </w:tcPr>
          <w:p w14:paraId="337CFB9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5CCC6AFA">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0.0561</w:t>
            </w:r>
          </w:p>
        </w:tc>
      </w:tr>
      <w:tr w14:paraId="66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5563FD25">
            <w:pPr>
              <w:tabs>
                <w:tab w:val="left" w:pos="465"/>
              </w:tabs>
              <w:spacing w:after="0"/>
              <w:jc w:val="center"/>
              <w:rPr>
                <w:rFonts w:ascii="仿宋_GB2312" w:eastAsia="仿宋_GB2312"/>
                <w:sz w:val="24"/>
              </w:rPr>
            </w:pPr>
          </w:p>
        </w:tc>
        <w:tc>
          <w:tcPr>
            <w:tcW w:w="1727" w:type="pct"/>
            <w:vAlign w:val="center"/>
          </w:tcPr>
          <w:p w14:paraId="77F3625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4F114F2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0.6872</w:t>
            </w:r>
          </w:p>
        </w:tc>
      </w:tr>
      <w:tr w14:paraId="049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C57B917">
            <w:pPr>
              <w:tabs>
                <w:tab w:val="left" w:pos="465"/>
              </w:tabs>
              <w:spacing w:after="0"/>
              <w:jc w:val="center"/>
              <w:rPr>
                <w:rFonts w:ascii="仿宋_GB2312" w:eastAsia="仿宋_GB2312"/>
                <w:sz w:val="24"/>
              </w:rPr>
            </w:pPr>
          </w:p>
        </w:tc>
        <w:tc>
          <w:tcPr>
            <w:tcW w:w="1727" w:type="pct"/>
            <w:vAlign w:val="center"/>
          </w:tcPr>
          <w:p w14:paraId="6C647A26">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5AEF8FE">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0.2342</w:t>
            </w:r>
          </w:p>
        </w:tc>
      </w:tr>
      <w:tr w14:paraId="2FF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7435E85">
            <w:pPr>
              <w:tabs>
                <w:tab w:val="left" w:pos="465"/>
              </w:tabs>
              <w:spacing w:after="0"/>
              <w:jc w:val="center"/>
              <w:rPr>
                <w:rFonts w:ascii="仿宋_GB2312" w:eastAsia="仿宋_GB2312"/>
                <w:sz w:val="24"/>
              </w:rPr>
            </w:pPr>
          </w:p>
        </w:tc>
        <w:tc>
          <w:tcPr>
            <w:tcW w:w="1727" w:type="pct"/>
            <w:vAlign w:val="center"/>
          </w:tcPr>
          <w:p w14:paraId="0E8DD1D6">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71B7B716">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w:t>
            </w:r>
          </w:p>
        </w:tc>
      </w:tr>
      <w:tr w14:paraId="4AA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4D4BB5CF">
            <w:pPr>
              <w:tabs>
                <w:tab w:val="left" w:pos="465"/>
              </w:tabs>
              <w:spacing w:after="0"/>
              <w:jc w:val="center"/>
              <w:rPr>
                <w:rFonts w:ascii="仿宋_GB2312" w:eastAsia="仿宋_GB2312"/>
                <w:sz w:val="24"/>
              </w:rPr>
            </w:pPr>
          </w:p>
        </w:tc>
        <w:tc>
          <w:tcPr>
            <w:tcW w:w="1727" w:type="pct"/>
            <w:vAlign w:val="center"/>
          </w:tcPr>
          <w:p w14:paraId="6C8AB3BE">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01E6F4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0.0721</w:t>
            </w:r>
          </w:p>
        </w:tc>
      </w:tr>
      <w:tr w14:paraId="7D8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59170FF">
            <w:pPr>
              <w:tabs>
                <w:tab w:val="left" w:pos="465"/>
              </w:tabs>
              <w:spacing w:after="0"/>
              <w:jc w:val="center"/>
              <w:rPr>
                <w:rFonts w:ascii="仿宋_GB2312" w:eastAsia="仿宋_GB2312"/>
                <w:sz w:val="24"/>
              </w:rPr>
            </w:pPr>
          </w:p>
        </w:tc>
        <w:tc>
          <w:tcPr>
            <w:tcW w:w="1727" w:type="pct"/>
            <w:vAlign w:val="center"/>
          </w:tcPr>
          <w:p w14:paraId="37A8A8CD">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5C6082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17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D334DEA">
            <w:pPr>
              <w:tabs>
                <w:tab w:val="left" w:pos="465"/>
              </w:tabs>
              <w:spacing w:after="0"/>
              <w:jc w:val="center"/>
              <w:rPr>
                <w:rFonts w:ascii="仿宋_GB2312" w:eastAsia="仿宋_GB2312"/>
                <w:sz w:val="24"/>
              </w:rPr>
            </w:pPr>
          </w:p>
        </w:tc>
        <w:tc>
          <w:tcPr>
            <w:tcW w:w="1727" w:type="pct"/>
            <w:vAlign w:val="center"/>
          </w:tcPr>
          <w:p w14:paraId="0440AFB3">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0A127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53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79" w:type="pct"/>
            <w:gridSpan w:val="2"/>
            <w:vAlign w:val="center"/>
          </w:tcPr>
          <w:p w14:paraId="1DD429B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6F511909">
            <w:pPr>
              <w:spacing w:after="0"/>
              <w:jc w:val="center"/>
              <w:rPr>
                <w:rFonts w:hint="default" w:ascii="宋体" w:hAnsi="宋体" w:eastAsia="宋体" w:cs="宋体"/>
                <w:color w:val="000000"/>
                <w:lang w:val="en-US" w:eastAsia="zh-CN"/>
              </w:rPr>
            </w:pPr>
            <w:r>
              <w:rPr>
                <w:rFonts w:hint="eastAsia" w:ascii="仿宋_GB2312" w:eastAsia="仿宋_GB2312"/>
                <w:b/>
                <w:sz w:val="24"/>
                <w:lang w:val="en-US" w:eastAsia="zh-CN"/>
              </w:rPr>
              <w:t>1.0496</w:t>
            </w:r>
          </w:p>
        </w:tc>
      </w:tr>
    </w:tbl>
    <w:p w14:paraId="7C55691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14:paraId="73AEA0E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D5EB0AE">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w:t>
      </w:r>
      <w:r>
        <w:rPr>
          <w:rFonts w:hint="eastAsia" w:ascii="仿宋_GB2312" w:hAnsi="仿宋_GB2312" w:eastAsia="仿宋_GB2312" w:cs="仿宋_GB2312"/>
          <w:bCs/>
          <w:sz w:val="32"/>
          <w:szCs w:val="32"/>
          <w:highlight w:val="none"/>
          <w:lang w:eastAsia="zh-CN"/>
        </w:rPr>
        <w:t>交通运输用地</w:t>
      </w:r>
      <w:r>
        <w:rPr>
          <w:rFonts w:hint="eastAsia" w:ascii="仿宋_GB2312" w:hAnsi="仿宋_GB2312" w:eastAsia="仿宋_GB2312" w:cs="仿宋_GB2312"/>
          <w:bCs/>
          <w:sz w:val="32"/>
          <w:szCs w:val="32"/>
          <w:highlight w:val="none"/>
          <w:lang w:val="en-US" w:eastAsia="zh-CN"/>
        </w:rPr>
        <w:t>和公共管理与公共服务用地</w:t>
      </w:r>
      <w:r>
        <w:rPr>
          <w:rFonts w:hint="eastAsia" w:ascii="仿宋_GB2312" w:hAnsi="仿宋_GB2312" w:eastAsia="仿宋_GB2312" w:cs="仿宋_GB2312"/>
          <w:bCs/>
          <w:kern w:val="2"/>
          <w:sz w:val="32"/>
          <w:szCs w:val="32"/>
        </w:rPr>
        <w:t>，该用地符合《中华人民共和国土地管理法》第四十五条第（三）项规定</w:t>
      </w:r>
      <w:r>
        <w:rPr>
          <w:rFonts w:hint="eastAsia" w:ascii="仿宋_GB2312" w:hAnsi="仿宋_GB2312" w:eastAsia="仿宋_GB2312" w:cs="仿宋_GB2312"/>
          <w:color w:val="000000"/>
          <w:sz w:val="32"/>
          <w:szCs w:val="32"/>
        </w:rPr>
        <w:t>，确需征收农民集体所有土地。</w:t>
      </w:r>
    </w:p>
    <w:p w14:paraId="04ACCE11">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46A274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w:t>
      </w:r>
      <w:r>
        <w:rPr>
          <w:rFonts w:hint="eastAsia" w:ascii="仿宋_GB2312" w:hAnsi="仿宋_GB2312" w:eastAsia="仿宋_GB2312" w:cs="仿宋_GB2312"/>
          <w:color w:val="000000"/>
          <w:sz w:val="32"/>
          <w:szCs w:val="32"/>
          <w:lang w:val="en-US" w:eastAsia="zh-CN"/>
        </w:rPr>
        <w:t>1.0496</w:t>
      </w:r>
      <w:r>
        <w:rPr>
          <w:rFonts w:hint="eastAsia" w:ascii="仿宋_GB2312" w:hAnsi="仿宋_GB2312" w:eastAsia="仿宋_GB2312" w:cs="仿宋_GB2312"/>
          <w:color w:val="000000"/>
          <w:sz w:val="32"/>
          <w:szCs w:val="32"/>
        </w:rPr>
        <w:t>公顷，共涉及1个征地区片综合地价片区，标准为每亩5.0200万元。</w:t>
      </w:r>
    </w:p>
    <w:p w14:paraId="2770FAF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34580C6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30DF9F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DF24AA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3265FD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本次拟征收土地的所有权人、使用权人应当于</w:t>
      </w:r>
      <w:r>
        <w:rPr>
          <w:rFonts w:hint="eastAsia" w:ascii="仿宋_GB2312" w:hAnsi="仿宋" w:eastAsia="仿宋_GB2312" w:cs="Times New Roman"/>
          <w:kern w:val="2"/>
          <w:sz w:val="32"/>
          <w:szCs w:val="32"/>
          <w:lang w:val="en-US" w:eastAsia="zh-CN"/>
        </w:rPr>
        <w:t>2025</w:t>
      </w:r>
      <w:r>
        <w:rPr>
          <w:rFonts w:hint="eastAsia" w:ascii="仿宋_GB2312" w:hAnsi="仿宋" w:eastAsia="仿宋_GB2312" w:cs="Times New Roman"/>
          <w:kern w:val="2"/>
          <w:sz w:val="32"/>
          <w:szCs w:val="32"/>
        </w:rPr>
        <w:t>年</w:t>
      </w:r>
      <w:r>
        <w:rPr>
          <w:rFonts w:hint="eastAsia" w:ascii="仿宋_GB2312" w:hAnsi="仿宋" w:eastAsia="仿宋_GB2312" w:cs="Times New Roman"/>
          <w:kern w:val="2"/>
          <w:sz w:val="32"/>
          <w:szCs w:val="32"/>
          <w:lang w:val="en-US" w:eastAsia="zh-CN"/>
        </w:rPr>
        <w:t>7</w:t>
      </w:r>
      <w:r>
        <w:rPr>
          <w:rFonts w:hint="eastAsia" w:ascii="仿宋_GB2312" w:hAnsi="仿宋" w:eastAsia="仿宋_GB2312" w:cs="Times New Roman"/>
          <w:kern w:val="2"/>
          <w:sz w:val="32"/>
          <w:szCs w:val="32"/>
        </w:rPr>
        <w:t>月</w:t>
      </w:r>
      <w:r>
        <w:rPr>
          <w:rFonts w:hint="eastAsia" w:ascii="仿宋_GB2312" w:hAnsi="仿宋" w:eastAsia="仿宋_GB2312" w:cs="Times New Roman"/>
          <w:kern w:val="2"/>
          <w:sz w:val="32"/>
          <w:szCs w:val="32"/>
          <w:lang w:val="en-US" w:eastAsia="zh-CN"/>
        </w:rPr>
        <w:t>9</w:t>
      </w:r>
      <w:r>
        <w:rPr>
          <w:rFonts w:hint="eastAsia" w:ascii="仿宋_GB2312" w:hAnsi="仿宋" w:eastAsia="仿宋_GB2312" w:cs="Times New Roman"/>
          <w:kern w:val="2"/>
          <w:sz w:val="32"/>
          <w:szCs w:val="32"/>
        </w:rPr>
        <w:t>日</w:t>
      </w:r>
      <w:r>
        <w:rPr>
          <w:rFonts w:hint="eastAsia" w:ascii="仿宋_GB2312" w:hAnsi="仿宋_GB2312" w:eastAsia="仿宋_GB2312" w:cs="仿宋_GB2312"/>
          <w:color w:val="000000"/>
          <w:sz w:val="32"/>
          <w:szCs w:val="32"/>
        </w:rPr>
        <w:t>至</w:t>
      </w:r>
      <w:r>
        <w:rPr>
          <w:rFonts w:hint="eastAsia" w:ascii="仿宋_GB2312" w:hAnsi="仿宋" w:eastAsia="仿宋_GB2312" w:cs="Times New Roman"/>
          <w:kern w:val="2"/>
          <w:sz w:val="32"/>
          <w:szCs w:val="32"/>
          <w:lang w:val="en-US" w:eastAsia="zh-CN"/>
        </w:rPr>
        <w:t>2025</w:t>
      </w:r>
      <w:r>
        <w:rPr>
          <w:rFonts w:hint="eastAsia" w:ascii="仿宋_GB2312" w:hAnsi="仿宋" w:eastAsia="仿宋_GB2312" w:cs="Times New Roman"/>
          <w:kern w:val="2"/>
          <w:sz w:val="32"/>
          <w:szCs w:val="32"/>
        </w:rPr>
        <w:t>年</w:t>
      </w:r>
      <w:r>
        <w:rPr>
          <w:rFonts w:hint="eastAsia" w:ascii="仿宋_GB2312" w:hAnsi="仿宋" w:eastAsia="仿宋_GB2312" w:cs="Times New Roman"/>
          <w:kern w:val="2"/>
          <w:sz w:val="32"/>
          <w:szCs w:val="32"/>
          <w:lang w:val="en-US" w:eastAsia="zh-CN"/>
        </w:rPr>
        <w:t>8</w:t>
      </w:r>
      <w:r>
        <w:rPr>
          <w:rFonts w:hint="eastAsia" w:ascii="仿宋_GB2312" w:hAnsi="仿宋" w:eastAsia="仿宋_GB2312" w:cs="Times New Roman"/>
          <w:kern w:val="2"/>
          <w:sz w:val="32"/>
          <w:szCs w:val="32"/>
        </w:rPr>
        <w:t>月</w:t>
      </w:r>
      <w:r>
        <w:rPr>
          <w:rFonts w:hint="eastAsia" w:ascii="仿宋_GB2312" w:hAnsi="仿宋" w:eastAsia="仿宋_GB2312" w:cs="Times New Roman"/>
          <w:kern w:val="2"/>
          <w:sz w:val="32"/>
          <w:szCs w:val="32"/>
          <w:lang w:val="en-US" w:eastAsia="zh-CN"/>
        </w:rPr>
        <w:t>8</w:t>
      </w:r>
      <w:r>
        <w:rPr>
          <w:rFonts w:hint="eastAsia" w:ascii="仿宋_GB2312" w:hAnsi="仿宋" w:eastAsia="仿宋_GB2312" w:cs="Times New Roman"/>
          <w:kern w:val="2"/>
          <w:sz w:val="32"/>
          <w:szCs w:val="32"/>
        </w:rPr>
        <w:t>日</w:t>
      </w:r>
      <w:r>
        <w:rPr>
          <w:rFonts w:hint="eastAsia" w:ascii="仿宋_GB2312" w:hAnsi="仿宋_GB2312" w:eastAsia="仿宋_GB2312" w:cs="仿宋_GB2312"/>
          <w:color w:val="000000"/>
          <w:sz w:val="32"/>
          <w:szCs w:val="32"/>
        </w:rPr>
        <w:t>持不动产权属证明及相关材料，</w:t>
      </w:r>
      <w:r>
        <w:rPr>
          <w:rFonts w:hint="eastAsia" w:ascii="仿宋_GB2312" w:hAnsi="仿宋" w:eastAsia="仿宋_GB2312" w:cs="Times New Roman"/>
          <w:kern w:val="2"/>
          <w:sz w:val="32"/>
          <w:szCs w:val="32"/>
        </w:rPr>
        <w:t>到集贤镇人民政府办理补偿登记。在规定期限内不办理土地补偿登记的，将以土地现状调查结果为准。</w:t>
      </w:r>
    </w:p>
    <w:p w14:paraId="1237113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59C7CF0">
      <w:pPr>
        <w:tabs>
          <w:tab w:val="left" w:pos="7480"/>
        </w:tabs>
        <w:spacing w:after="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3F71FD1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w:t>
      </w:r>
      <w:bookmarkStart w:id="2" w:name="_GoBack"/>
      <w:bookmarkEnd w:id="2"/>
      <w:r>
        <w:rPr>
          <w:rFonts w:hint="eastAsia" w:ascii="仿宋_GB2312" w:hAnsi="仿宋_GB2312" w:eastAsia="仿宋_GB2312" w:cs="仿宋_GB2312"/>
          <w:color w:val="000000"/>
          <w:sz w:val="32"/>
          <w:szCs w:val="32"/>
        </w:rPr>
        <w:t>补偿安置协议》拟定用地报批征收土地方案，征地补偿安置内容以省政府批复为准。</w:t>
      </w:r>
    </w:p>
    <w:p w14:paraId="13076FDE">
      <w:pPr>
        <w:widowControl w:val="0"/>
        <w:tabs>
          <w:tab w:val="left" w:pos="7480"/>
        </w:tabs>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F5B4B93">
      <w:pPr>
        <w:widowControl w:val="0"/>
        <w:tabs>
          <w:tab w:val="left" w:pos="7480"/>
        </w:tabs>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2C88780D">
      <w:pPr>
        <w:widowControl w:val="0"/>
        <w:tabs>
          <w:tab w:val="left" w:pos="7480"/>
        </w:tabs>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0C6F1B86">
      <w:pPr>
        <w:tabs>
          <w:tab w:val="left" w:pos="7480"/>
        </w:tabs>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kern w:val="2"/>
          <w:sz w:val="32"/>
          <w:szCs w:val="32"/>
          <w:lang w:val="en-US" w:eastAsia="zh-CN"/>
        </w:rPr>
        <w:t xml:space="preserve"> </w:t>
      </w:r>
      <w:r>
        <w:rPr>
          <w:rFonts w:hint="eastAsia" w:ascii="仿宋_GB2312" w:hAnsi="仿宋_GB2312" w:eastAsia="仿宋_GB2312" w:cs="仿宋_GB2312"/>
          <w:color w:val="000000"/>
          <w:sz w:val="32"/>
          <w:szCs w:val="32"/>
        </w:rPr>
        <w:t>周至县人民政府</w:t>
      </w:r>
    </w:p>
    <w:p w14:paraId="1D7FA458">
      <w:pPr>
        <w:widowControl w:val="0"/>
        <w:adjustRightInd/>
        <w:snapToGrid/>
        <w:spacing w:after="0" w:line="600" w:lineRule="exact"/>
        <w:ind w:firstLine="5120" w:firstLineChars="16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797F46"/>
    <w:rsid w:val="008046C5"/>
    <w:rsid w:val="008B7BB2"/>
    <w:rsid w:val="00FE2DC9"/>
    <w:rsid w:val="0442018F"/>
    <w:rsid w:val="05076969"/>
    <w:rsid w:val="051473A8"/>
    <w:rsid w:val="07B70A9C"/>
    <w:rsid w:val="08171804"/>
    <w:rsid w:val="0BF40511"/>
    <w:rsid w:val="0FFB3177"/>
    <w:rsid w:val="1043262A"/>
    <w:rsid w:val="18D51C91"/>
    <w:rsid w:val="1A7A0A6C"/>
    <w:rsid w:val="1D54668F"/>
    <w:rsid w:val="251A0287"/>
    <w:rsid w:val="28055067"/>
    <w:rsid w:val="29BD36D2"/>
    <w:rsid w:val="2DE31109"/>
    <w:rsid w:val="2F675649"/>
    <w:rsid w:val="2FDC3FC3"/>
    <w:rsid w:val="32AF3C0C"/>
    <w:rsid w:val="32C925E5"/>
    <w:rsid w:val="372B09DB"/>
    <w:rsid w:val="38864C2A"/>
    <w:rsid w:val="3968117A"/>
    <w:rsid w:val="3F2F50F2"/>
    <w:rsid w:val="401B18B5"/>
    <w:rsid w:val="43D163A4"/>
    <w:rsid w:val="456A6296"/>
    <w:rsid w:val="4583015B"/>
    <w:rsid w:val="4BA7332C"/>
    <w:rsid w:val="55FA39FC"/>
    <w:rsid w:val="564E6341"/>
    <w:rsid w:val="564F7942"/>
    <w:rsid w:val="5EA90415"/>
    <w:rsid w:val="5EFAC5EC"/>
    <w:rsid w:val="5F1167D9"/>
    <w:rsid w:val="62D44EB8"/>
    <w:rsid w:val="672E259E"/>
    <w:rsid w:val="68664B20"/>
    <w:rsid w:val="6FFB72D2"/>
    <w:rsid w:val="70681991"/>
    <w:rsid w:val="72FFE72D"/>
    <w:rsid w:val="784B74D2"/>
    <w:rsid w:val="793A08B2"/>
    <w:rsid w:val="7B55773A"/>
    <w:rsid w:val="7BF6836A"/>
    <w:rsid w:val="7DB06383"/>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1026</Words>
  <Characters>1088</Characters>
  <Lines>8</Lines>
  <Paragraphs>2</Paragraphs>
  <TotalTime>27</TotalTime>
  <ScaleCrop>false</ScaleCrop>
  <LinksUpToDate>false</LinksUpToDate>
  <CharactersWithSpaces>1136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照照</cp:lastModifiedBy>
  <cp:lastPrinted>2025-07-10T03:39:22Z</cp:lastPrinted>
  <dcterms:modified xsi:type="dcterms:W3CDTF">2025-07-10T03:59:41Z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6A51423A3348AF6C0B22CA6408A20560</vt:lpwstr>
  </property>
  <property fmtid="{D5CDD505-2E9C-101B-9397-08002B2CF9AE}" pid="4" name="KSOTemplateDocerSaveRecord">
    <vt:lpwstr>eyJoZGlkIjoiNzgyYjg3MDVmMWUyYzIwZmE5OTIwOTdlYWRhNDk4MDAiLCJ1c2VySWQiOiIyNTk4MzQ4OTUifQ==</vt:lpwstr>
  </property>
</Properties>
</file>