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8B18E">
      <w:pPr>
        <w:spacing w:after="0" w:line="680" w:lineRule="exact"/>
        <w:jc w:val="center"/>
        <w:rPr>
          <w:rFonts w:hint="eastAsia" w:ascii="方正小标宋简体" w:hAnsi="仿宋" w:eastAsia="方正小标宋简体"/>
          <w:color w:val="000000" w:themeColor="text1"/>
          <w:spacing w:val="60"/>
          <w:sz w:val="44"/>
          <w:szCs w:val="44"/>
          <w14:textFill>
            <w14:solidFill>
              <w14:schemeClr w14:val="tx1"/>
            </w14:solidFill>
          </w14:textFill>
        </w:rPr>
      </w:pPr>
      <w:r>
        <w:rPr>
          <w:rFonts w:hint="eastAsia" w:ascii="方正小标宋简体" w:hAnsi="仿宋" w:eastAsia="方正小标宋简体"/>
          <w:color w:val="000000" w:themeColor="text1"/>
          <w:spacing w:val="60"/>
          <w:sz w:val="44"/>
          <w:szCs w:val="44"/>
          <w14:textFill>
            <w14:solidFill>
              <w14:schemeClr w14:val="tx1"/>
            </w14:solidFill>
          </w14:textFill>
        </w:rPr>
        <w:t>周至县人民政府</w:t>
      </w:r>
    </w:p>
    <w:p w14:paraId="29A04D29">
      <w:pPr>
        <w:spacing w:after="0" w:line="680" w:lineRule="exact"/>
        <w:jc w:val="center"/>
        <w:rPr>
          <w:rFonts w:hint="eastAsia" w:ascii="方正小标宋简体" w:hAnsi="仿宋" w:eastAsia="方正小标宋简体"/>
          <w:color w:val="000000" w:themeColor="text1"/>
          <w:spacing w:val="60"/>
          <w:sz w:val="44"/>
          <w:szCs w:val="44"/>
          <w14:textFill>
            <w14:solidFill>
              <w14:schemeClr w14:val="tx1"/>
            </w14:solidFill>
          </w14:textFill>
        </w:rPr>
      </w:pPr>
      <w:r>
        <w:rPr>
          <w:rFonts w:hint="eastAsia" w:ascii="方正小标宋简体" w:hAnsi="仿宋" w:eastAsia="方正小标宋简体"/>
          <w:color w:val="000000" w:themeColor="text1"/>
          <w:spacing w:val="60"/>
          <w:sz w:val="44"/>
          <w:szCs w:val="44"/>
          <w14:textFill>
            <w14:solidFill>
              <w14:schemeClr w14:val="tx1"/>
            </w14:solidFill>
          </w14:textFill>
        </w:rPr>
        <w:t>征地补偿安置公告</w:t>
      </w:r>
    </w:p>
    <w:p w14:paraId="05BCD6B2">
      <w:pPr>
        <w:spacing w:after="0" w:line="560" w:lineRule="exact"/>
        <w:ind w:firstLine="2240" w:firstLineChars="700"/>
        <w:jc w:val="both"/>
        <w:rPr>
          <w:rFonts w:hint="eastAsia" w:ascii="仿宋" w:hAnsi="仿宋" w:eastAsia="仿宋"/>
          <w:color w:val="000000" w:themeColor="text1"/>
          <w:sz w:val="32"/>
          <w:szCs w:val="32"/>
          <w14:textFill>
            <w14:solidFill>
              <w14:schemeClr w14:val="tx1"/>
            </w14:solidFill>
          </w14:textFill>
        </w:rPr>
      </w:pPr>
      <w:bookmarkStart w:id="0" w:name="_Hlk33122243"/>
      <w:r>
        <w:rPr>
          <w:rFonts w:hint="eastAsia" w:ascii="仿宋" w:hAnsi="仿宋" w:eastAsia="仿宋"/>
          <w:color w:val="000000" w:themeColor="text1"/>
          <w:sz w:val="32"/>
          <w:szCs w:val="32"/>
          <w14:textFill>
            <w14:solidFill>
              <w14:schemeClr w14:val="tx1"/>
            </w14:solidFill>
          </w14:textFill>
        </w:rPr>
        <w:t>周征补</w:t>
      </w:r>
      <w:r>
        <w:rPr>
          <w:rFonts w:ascii="仿宋" w:hAnsi="仿宋" w:eastAsia="仿宋"/>
          <w:color w:val="000000" w:themeColor="text1"/>
          <w:sz w:val="32"/>
          <w:szCs w:val="32"/>
          <w14:textFill>
            <w14:solidFill>
              <w14:schemeClr w14:val="tx1"/>
            </w14:solidFill>
          </w14:textFill>
        </w:rPr>
        <w:t>告字</w:t>
      </w:r>
      <w:r>
        <w:rPr>
          <w:rFonts w:hint="eastAsia" w:ascii="仿宋" w:hAnsi="仿宋" w:eastAsia="仿宋"/>
          <w:color w:val="000000" w:themeColor="text1"/>
          <w:sz w:val="32"/>
          <w:szCs w:val="32"/>
          <w14:textFill>
            <w14:solidFill>
              <w14:schemeClr w14:val="tx1"/>
            </w14:solidFill>
          </w14:textFill>
        </w:rPr>
        <w:t>〔2024〕</w:t>
      </w:r>
      <w:bookmarkEnd w:id="0"/>
      <w:r>
        <w:rPr>
          <w:rFonts w:hint="eastAsia" w:ascii="仿宋" w:hAnsi="仿宋" w:eastAsia="仿宋"/>
          <w:color w:val="000000" w:themeColor="text1"/>
          <w:sz w:val="32"/>
          <w:szCs w:val="32"/>
          <w14:textFill>
            <w14:solidFill>
              <w14:schemeClr w14:val="tx1"/>
            </w14:solidFill>
          </w14:textFill>
        </w:rPr>
        <w:t>第26-1号</w:t>
      </w:r>
    </w:p>
    <w:p w14:paraId="38851201">
      <w:pPr>
        <w:spacing w:before="312" w:beforeLines="100" w:after="0" w:line="560" w:lineRule="exact"/>
        <w:ind w:firstLine="640" w:firstLineChars="200"/>
        <w:rPr>
          <w:rFonts w:hint="eastAsia" w:ascii="仿宋" w:hAnsi="仿宋" w:eastAsia="仿宋"/>
          <w:sz w:val="32"/>
          <w:szCs w:val="32"/>
        </w:rPr>
      </w:pPr>
      <w:r>
        <w:rPr>
          <w:rFonts w:hint="eastAsia" w:ascii="仿宋" w:hAnsi="仿宋" w:eastAsia="仿宋"/>
          <w:sz w:val="32"/>
          <w:szCs w:val="32"/>
        </w:rPr>
        <w:t>根据《中华人民</w:t>
      </w:r>
      <w:r>
        <w:rPr>
          <w:rFonts w:ascii="仿宋" w:hAnsi="仿宋" w:eastAsia="仿宋"/>
          <w:sz w:val="32"/>
          <w:szCs w:val="32"/>
        </w:rPr>
        <w:t>共和国土地管理法</w:t>
      </w:r>
      <w:r>
        <w:rPr>
          <w:rFonts w:hint="eastAsia" w:ascii="仿宋" w:hAnsi="仿宋" w:eastAsia="仿宋"/>
          <w:sz w:val="32"/>
          <w:szCs w:val="32"/>
        </w:rPr>
        <w:t>》</w:t>
      </w:r>
      <w:bookmarkStart w:id="1" w:name="_GoBack"/>
      <w:bookmarkEnd w:id="1"/>
      <w:r>
        <w:rPr>
          <w:rFonts w:ascii="仿宋" w:hAnsi="仿宋" w:eastAsia="仿宋"/>
          <w:sz w:val="32"/>
          <w:szCs w:val="32"/>
        </w:rPr>
        <w:t>相关规定</w:t>
      </w:r>
      <w:r>
        <w:rPr>
          <w:rFonts w:hint="eastAsia" w:ascii="仿宋" w:hAnsi="仿宋" w:eastAsia="仿宋"/>
          <w:sz w:val="32"/>
          <w:szCs w:val="32"/>
        </w:rPr>
        <w:t>，结合</w:t>
      </w:r>
      <w:r>
        <w:rPr>
          <w:rFonts w:ascii="仿宋" w:hAnsi="仿宋" w:eastAsia="仿宋"/>
          <w:sz w:val="32"/>
          <w:szCs w:val="32"/>
        </w:rPr>
        <w:t>本次</w:t>
      </w:r>
      <w:r>
        <w:rPr>
          <w:rFonts w:hint="eastAsia" w:ascii="仿宋" w:hAnsi="仿宋" w:eastAsia="仿宋"/>
          <w:sz w:val="32"/>
          <w:szCs w:val="32"/>
        </w:rPr>
        <w:t>被征收</w:t>
      </w:r>
      <w:r>
        <w:rPr>
          <w:rFonts w:ascii="仿宋" w:hAnsi="仿宋" w:eastAsia="仿宋"/>
          <w:sz w:val="32"/>
          <w:szCs w:val="32"/>
        </w:rPr>
        <w:t>土地的现状调查</w:t>
      </w:r>
      <w:r>
        <w:rPr>
          <w:rFonts w:hint="eastAsia" w:ascii="仿宋" w:hAnsi="仿宋" w:eastAsia="仿宋"/>
          <w:sz w:val="32"/>
          <w:szCs w:val="32"/>
        </w:rPr>
        <w:t>以及社会</w:t>
      </w:r>
      <w:r>
        <w:rPr>
          <w:rFonts w:ascii="仿宋" w:hAnsi="仿宋" w:eastAsia="仿宋"/>
          <w:sz w:val="32"/>
          <w:szCs w:val="32"/>
        </w:rPr>
        <w:t>稳定风险评估结果，现将征地</w:t>
      </w:r>
      <w:r>
        <w:rPr>
          <w:rFonts w:hint="eastAsia" w:ascii="仿宋" w:hAnsi="仿宋" w:eastAsia="仿宋"/>
          <w:sz w:val="32"/>
          <w:szCs w:val="32"/>
        </w:rPr>
        <w:t>补偿</w:t>
      </w:r>
      <w:r>
        <w:rPr>
          <w:rFonts w:ascii="仿宋" w:hAnsi="仿宋" w:eastAsia="仿宋"/>
          <w:sz w:val="32"/>
          <w:szCs w:val="32"/>
        </w:rPr>
        <w:t>安置</w:t>
      </w:r>
      <w:r>
        <w:rPr>
          <w:rFonts w:hint="eastAsia" w:ascii="仿宋" w:hAnsi="仿宋" w:eastAsia="仿宋"/>
          <w:sz w:val="32"/>
          <w:szCs w:val="32"/>
        </w:rPr>
        <w:t>有关</w:t>
      </w:r>
      <w:r>
        <w:rPr>
          <w:rFonts w:ascii="仿宋" w:hAnsi="仿宋" w:eastAsia="仿宋"/>
          <w:sz w:val="32"/>
          <w:szCs w:val="32"/>
        </w:rPr>
        <w:t>事宜公告如下：</w:t>
      </w:r>
    </w:p>
    <w:p w14:paraId="641071B3">
      <w:pPr>
        <w:spacing w:after="0" w:line="560" w:lineRule="exact"/>
        <w:rPr>
          <w:rFonts w:hint="eastAsia" w:ascii="黑体" w:hAnsi="黑体" w:eastAsia="黑体"/>
          <w:sz w:val="32"/>
          <w:szCs w:val="32"/>
        </w:rPr>
      </w:pPr>
      <w:r>
        <w:rPr>
          <w:rFonts w:hint="eastAsia" w:ascii="黑体" w:hAnsi="黑体" w:eastAsia="黑体"/>
          <w:sz w:val="32"/>
          <w:szCs w:val="32"/>
        </w:rPr>
        <w:t>一</w:t>
      </w:r>
      <w:r>
        <w:rPr>
          <w:rFonts w:ascii="黑体" w:hAnsi="黑体" w:eastAsia="黑体"/>
          <w:sz w:val="32"/>
          <w:szCs w:val="32"/>
        </w:rPr>
        <w:t>、征收土地范围及现状</w:t>
      </w:r>
    </w:p>
    <w:p w14:paraId="65E6C8DA">
      <w:pPr>
        <w:spacing w:after="0" w:line="560" w:lineRule="exact"/>
        <w:ind w:firstLine="640" w:firstLineChars="200"/>
        <w:rPr>
          <w:rFonts w:hint="eastAsia" w:ascii="仿宋" w:hAnsi="仿宋" w:eastAsia="仿宋"/>
          <w:bCs/>
          <w:sz w:val="32"/>
          <w:szCs w:val="32"/>
        </w:rPr>
      </w:pPr>
      <w:r>
        <w:rPr>
          <w:rFonts w:hint="eastAsia" w:ascii="仿宋" w:hAnsi="仿宋" w:eastAsia="仿宋"/>
          <w:bCs/>
          <w:sz w:val="32"/>
          <w:szCs w:val="32"/>
        </w:rPr>
        <w:t>（一）拟征收土地范围</w:t>
      </w:r>
    </w:p>
    <w:p w14:paraId="61B43174">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本次</w:t>
      </w:r>
      <w:r>
        <w:rPr>
          <w:rFonts w:ascii="仿宋" w:hAnsi="仿宋" w:eastAsia="仿宋"/>
          <w:sz w:val="32"/>
          <w:szCs w:val="32"/>
        </w:rPr>
        <w:t>拟征收土地位于</w:t>
      </w:r>
      <w:r>
        <w:rPr>
          <w:rFonts w:hint="eastAsia" w:ascii="仿宋" w:hAnsi="仿宋" w:eastAsia="仿宋" w:cs="微软雅黑"/>
          <w:sz w:val="32"/>
          <w:szCs w:val="32"/>
        </w:rPr>
        <w:t>周至县楼观镇</w:t>
      </w:r>
      <w:r>
        <w:rPr>
          <w:rFonts w:hint="eastAsia" w:ascii="仿宋" w:hAnsi="仿宋" w:eastAsia="仿宋"/>
          <w:sz w:val="32"/>
          <w:szCs w:val="32"/>
        </w:rPr>
        <w:t>，具体用地范围见拟征收土地范围略图。</w:t>
      </w:r>
    </w:p>
    <w:p w14:paraId="58DA1C4F">
      <w:pPr>
        <w:spacing w:after="0" w:line="560" w:lineRule="exact"/>
        <w:ind w:firstLine="640" w:firstLineChars="200"/>
        <w:rPr>
          <w:rFonts w:hint="eastAsia" w:ascii="仿宋" w:hAnsi="仿宋" w:eastAsia="仿宋"/>
          <w:bCs/>
          <w:sz w:val="32"/>
          <w:szCs w:val="32"/>
        </w:rPr>
      </w:pPr>
      <w:r>
        <w:rPr>
          <w:rFonts w:hint="eastAsia" w:ascii="仿宋" w:hAnsi="仿宋" w:eastAsia="仿宋"/>
          <w:bCs/>
          <w:sz w:val="32"/>
          <w:szCs w:val="32"/>
        </w:rPr>
        <w:t>（二）拟征收土地现状</w:t>
      </w:r>
    </w:p>
    <w:p w14:paraId="427CF57D">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本次</w:t>
      </w:r>
      <w:r>
        <w:rPr>
          <w:rFonts w:ascii="仿宋" w:hAnsi="仿宋" w:eastAsia="仿宋"/>
          <w:sz w:val="32"/>
          <w:szCs w:val="32"/>
        </w:rPr>
        <w:t>拟征收土地的</w:t>
      </w:r>
      <w:r>
        <w:rPr>
          <w:rFonts w:hint="eastAsia" w:ascii="仿宋" w:hAnsi="仿宋" w:eastAsia="仿宋"/>
          <w:sz w:val="32"/>
          <w:szCs w:val="32"/>
        </w:rPr>
        <w:t>权属、地类、面积如下</w:t>
      </w:r>
      <w:r>
        <w:rPr>
          <w:rFonts w:ascii="仿宋" w:hAnsi="仿宋" w:eastAsia="仿宋"/>
          <w:sz w:val="32"/>
          <w:szCs w:val="32"/>
        </w:rPr>
        <w:t>：</w:t>
      </w:r>
    </w:p>
    <w:tbl>
      <w:tblPr>
        <w:tblStyle w:val="4"/>
        <w:tblW w:w="8554" w:type="dxa"/>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2855"/>
        <w:gridCol w:w="3348"/>
      </w:tblGrid>
      <w:tr w14:paraId="39BA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351" w:type="dxa"/>
            <w:vMerge w:val="restart"/>
            <w:vAlign w:val="center"/>
          </w:tcPr>
          <w:p w14:paraId="4EE2A0BD">
            <w:pPr>
              <w:tabs>
                <w:tab w:val="left" w:pos="465"/>
              </w:tabs>
              <w:spacing w:after="0"/>
              <w:jc w:val="center"/>
              <w:rPr>
                <w:rFonts w:hint="eastAsia" w:ascii="仿宋" w:hAnsi="仿宋" w:eastAsia="仿宋"/>
                <w:sz w:val="24"/>
                <w:szCs w:val="24"/>
              </w:rPr>
            </w:pPr>
            <w:r>
              <w:rPr>
                <w:rFonts w:hint="eastAsia" w:ascii="仿宋" w:hAnsi="仿宋" w:eastAsia="仿宋"/>
                <w:sz w:val="24"/>
                <w:szCs w:val="24"/>
              </w:rPr>
              <w:t>权属</w:t>
            </w:r>
          </w:p>
          <w:p w14:paraId="673D54D0">
            <w:pPr>
              <w:tabs>
                <w:tab w:val="left" w:pos="465"/>
              </w:tabs>
              <w:spacing w:after="0"/>
              <w:jc w:val="center"/>
              <w:rPr>
                <w:rFonts w:hint="eastAsia" w:ascii="仿宋" w:hAnsi="仿宋" w:eastAsia="仿宋"/>
                <w:sz w:val="24"/>
                <w:szCs w:val="24"/>
              </w:rPr>
            </w:pPr>
            <w:r>
              <w:rPr>
                <w:rFonts w:hint="eastAsia" w:ascii="仿宋" w:hAnsi="仿宋" w:eastAsia="仿宋"/>
                <w:sz w:val="24"/>
                <w:szCs w:val="24"/>
              </w:rPr>
              <w:t>（以勘界为准）</w:t>
            </w:r>
          </w:p>
        </w:tc>
        <w:tc>
          <w:tcPr>
            <w:tcW w:w="2854" w:type="dxa"/>
            <w:vMerge w:val="restart"/>
            <w:vAlign w:val="center"/>
          </w:tcPr>
          <w:p w14:paraId="36EBADD1">
            <w:pPr>
              <w:tabs>
                <w:tab w:val="left" w:pos="465"/>
              </w:tabs>
              <w:spacing w:after="0"/>
              <w:jc w:val="center"/>
              <w:rPr>
                <w:rFonts w:hint="eastAsia" w:ascii="仿宋" w:hAnsi="仿宋" w:eastAsia="仿宋"/>
                <w:sz w:val="24"/>
                <w:szCs w:val="24"/>
              </w:rPr>
            </w:pPr>
            <w:r>
              <w:rPr>
                <w:rFonts w:hint="eastAsia" w:ascii="仿宋" w:hAnsi="仿宋" w:eastAsia="仿宋"/>
                <w:sz w:val="24"/>
                <w:szCs w:val="24"/>
              </w:rPr>
              <w:t>地类名称</w:t>
            </w:r>
          </w:p>
        </w:tc>
        <w:tc>
          <w:tcPr>
            <w:tcW w:w="3348" w:type="dxa"/>
            <w:vMerge w:val="restart"/>
            <w:vAlign w:val="center"/>
          </w:tcPr>
          <w:p w14:paraId="0A78073E">
            <w:pPr>
              <w:tabs>
                <w:tab w:val="left" w:pos="465"/>
              </w:tabs>
              <w:spacing w:after="0"/>
              <w:jc w:val="center"/>
              <w:rPr>
                <w:rFonts w:hint="eastAsia" w:ascii="仿宋" w:hAnsi="仿宋" w:eastAsia="仿宋"/>
                <w:sz w:val="24"/>
                <w:szCs w:val="24"/>
              </w:rPr>
            </w:pPr>
            <w:r>
              <w:rPr>
                <w:rFonts w:hint="eastAsia" w:ascii="仿宋" w:hAnsi="仿宋" w:eastAsia="仿宋"/>
                <w:sz w:val="24"/>
                <w:szCs w:val="24"/>
              </w:rPr>
              <w:t>面积（公顷）</w:t>
            </w:r>
          </w:p>
        </w:tc>
      </w:tr>
      <w:tr w14:paraId="085E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351" w:type="dxa"/>
            <w:vMerge w:val="continue"/>
            <w:vAlign w:val="center"/>
          </w:tcPr>
          <w:p w14:paraId="42E4A528">
            <w:pPr>
              <w:tabs>
                <w:tab w:val="left" w:pos="465"/>
              </w:tabs>
              <w:spacing w:after="0"/>
              <w:ind w:firstLine="480" w:firstLineChars="200"/>
              <w:jc w:val="center"/>
              <w:rPr>
                <w:rFonts w:hint="eastAsia" w:ascii="仿宋" w:hAnsi="仿宋" w:eastAsia="仿宋"/>
                <w:sz w:val="24"/>
                <w:szCs w:val="24"/>
              </w:rPr>
            </w:pPr>
          </w:p>
        </w:tc>
        <w:tc>
          <w:tcPr>
            <w:tcW w:w="2854" w:type="dxa"/>
            <w:vMerge w:val="continue"/>
            <w:vAlign w:val="center"/>
          </w:tcPr>
          <w:p w14:paraId="58A0CA1E">
            <w:pPr>
              <w:tabs>
                <w:tab w:val="left" w:pos="465"/>
              </w:tabs>
              <w:spacing w:after="0"/>
              <w:ind w:firstLine="480" w:firstLineChars="200"/>
              <w:jc w:val="center"/>
              <w:rPr>
                <w:rFonts w:hint="eastAsia" w:ascii="仿宋" w:hAnsi="仿宋" w:eastAsia="仿宋"/>
                <w:sz w:val="24"/>
                <w:szCs w:val="24"/>
              </w:rPr>
            </w:pPr>
          </w:p>
        </w:tc>
        <w:tc>
          <w:tcPr>
            <w:tcW w:w="3348" w:type="dxa"/>
            <w:vMerge w:val="continue"/>
            <w:vAlign w:val="center"/>
          </w:tcPr>
          <w:p w14:paraId="2B76D1E4">
            <w:pPr>
              <w:tabs>
                <w:tab w:val="left" w:pos="465"/>
              </w:tabs>
              <w:spacing w:after="0"/>
              <w:ind w:firstLine="480" w:firstLineChars="200"/>
              <w:jc w:val="center"/>
              <w:rPr>
                <w:rFonts w:hint="eastAsia" w:ascii="仿宋" w:hAnsi="仿宋" w:eastAsia="仿宋"/>
                <w:sz w:val="24"/>
                <w:szCs w:val="24"/>
              </w:rPr>
            </w:pPr>
          </w:p>
        </w:tc>
      </w:tr>
      <w:tr w14:paraId="184E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2351" w:type="dxa"/>
            <w:vMerge w:val="restart"/>
            <w:vAlign w:val="center"/>
          </w:tcPr>
          <w:p w14:paraId="3CEB847C">
            <w:pPr>
              <w:tabs>
                <w:tab w:val="left" w:pos="465"/>
              </w:tabs>
              <w:spacing w:after="0"/>
              <w:jc w:val="center"/>
              <w:rPr>
                <w:rFonts w:hint="eastAsia" w:ascii="仿宋" w:hAnsi="仿宋" w:eastAsia="仿宋"/>
                <w:sz w:val="24"/>
                <w:szCs w:val="24"/>
              </w:rPr>
            </w:pPr>
            <w:r>
              <w:rPr>
                <w:rFonts w:hint="eastAsia" w:ascii="仿宋" w:hAnsi="仿宋" w:eastAsia="仿宋"/>
                <w:sz w:val="24"/>
                <w:szCs w:val="24"/>
              </w:rPr>
              <w:t>楼观镇政府</w:t>
            </w:r>
          </w:p>
        </w:tc>
        <w:tc>
          <w:tcPr>
            <w:tcW w:w="2854" w:type="dxa"/>
            <w:vAlign w:val="center"/>
          </w:tcPr>
          <w:p w14:paraId="324657F3">
            <w:pPr>
              <w:tabs>
                <w:tab w:val="left" w:pos="465"/>
              </w:tabs>
              <w:spacing w:after="0"/>
              <w:jc w:val="center"/>
              <w:rPr>
                <w:rFonts w:hint="eastAsia" w:ascii="仿宋" w:hAnsi="仿宋" w:eastAsia="仿宋"/>
                <w:sz w:val="24"/>
                <w:szCs w:val="24"/>
              </w:rPr>
            </w:pPr>
            <w:r>
              <w:rPr>
                <w:rFonts w:hint="eastAsia" w:ascii="仿宋" w:hAnsi="仿宋" w:eastAsia="仿宋"/>
                <w:sz w:val="24"/>
                <w:szCs w:val="24"/>
              </w:rPr>
              <w:t>耕  地</w:t>
            </w:r>
          </w:p>
        </w:tc>
        <w:tc>
          <w:tcPr>
            <w:tcW w:w="3348" w:type="dxa"/>
            <w:vAlign w:val="center"/>
          </w:tcPr>
          <w:p w14:paraId="4FA8C305">
            <w:pPr>
              <w:tabs>
                <w:tab w:val="left" w:pos="465"/>
              </w:tabs>
              <w:spacing w:after="0"/>
              <w:jc w:val="center"/>
              <w:rPr>
                <w:rFonts w:hint="eastAsia" w:ascii="仿宋" w:hAnsi="仿宋" w:eastAsia="仿宋" w:cs="宋体"/>
                <w:sz w:val="24"/>
                <w:szCs w:val="24"/>
              </w:rPr>
            </w:pPr>
            <w:r>
              <w:rPr>
                <w:rFonts w:hint="eastAsia" w:ascii="仿宋" w:hAnsi="仿宋" w:eastAsia="仿宋" w:cs="宋体"/>
                <w:sz w:val="24"/>
                <w:szCs w:val="24"/>
              </w:rPr>
              <w:t>0.0052</w:t>
            </w:r>
          </w:p>
        </w:tc>
      </w:tr>
      <w:tr w14:paraId="5724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2351" w:type="dxa"/>
            <w:vMerge w:val="continue"/>
            <w:vAlign w:val="center"/>
          </w:tcPr>
          <w:p w14:paraId="1261C46F">
            <w:pPr>
              <w:tabs>
                <w:tab w:val="left" w:pos="465"/>
              </w:tabs>
              <w:spacing w:after="0"/>
              <w:ind w:firstLine="480" w:firstLineChars="200"/>
              <w:jc w:val="center"/>
              <w:rPr>
                <w:rFonts w:hint="eastAsia" w:ascii="仿宋" w:hAnsi="仿宋" w:eastAsia="仿宋"/>
                <w:sz w:val="24"/>
                <w:szCs w:val="24"/>
              </w:rPr>
            </w:pPr>
          </w:p>
        </w:tc>
        <w:tc>
          <w:tcPr>
            <w:tcW w:w="2854" w:type="dxa"/>
            <w:vAlign w:val="center"/>
          </w:tcPr>
          <w:p w14:paraId="4BB98B26">
            <w:pPr>
              <w:tabs>
                <w:tab w:val="left" w:pos="465"/>
              </w:tabs>
              <w:spacing w:after="0"/>
              <w:jc w:val="center"/>
              <w:rPr>
                <w:rFonts w:hint="eastAsia" w:ascii="仿宋" w:hAnsi="仿宋" w:eastAsia="仿宋"/>
                <w:sz w:val="24"/>
                <w:szCs w:val="24"/>
              </w:rPr>
            </w:pPr>
            <w:r>
              <w:rPr>
                <w:rFonts w:hint="eastAsia" w:ascii="仿宋" w:hAnsi="仿宋" w:eastAsia="仿宋"/>
                <w:sz w:val="24"/>
                <w:szCs w:val="24"/>
              </w:rPr>
              <w:t>园  地</w:t>
            </w:r>
          </w:p>
        </w:tc>
        <w:tc>
          <w:tcPr>
            <w:tcW w:w="3348" w:type="dxa"/>
            <w:vAlign w:val="center"/>
          </w:tcPr>
          <w:p w14:paraId="281C0CD2">
            <w:pPr>
              <w:tabs>
                <w:tab w:val="left" w:pos="465"/>
              </w:tabs>
              <w:spacing w:after="0"/>
              <w:jc w:val="center"/>
              <w:rPr>
                <w:rFonts w:hint="eastAsia" w:ascii="仿宋" w:hAnsi="仿宋" w:eastAsia="仿宋" w:cs="宋体"/>
                <w:sz w:val="24"/>
                <w:szCs w:val="24"/>
              </w:rPr>
            </w:pPr>
            <w:r>
              <w:rPr>
                <w:rFonts w:hint="eastAsia" w:ascii="仿宋" w:hAnsi="仿宋" w:eastAsia="仿宋" w:cs="宋体"/>
                <w:sz w:val="24"/>
                <w:szCs w:val="24"/>
              </w:rPr>
              <w:t>0.0124</w:t>
            </w:r>
          </w:p>
        </w:tc>
      </w:tr>
      <w:tr w14:paraId="6BDE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2351" w:type="dxa"/>
            <w:vMerge w:val="continue"/>
            <w:vAlign w:val="center"/>
          </w:tcPr>
          <w:p w14:paraId="2FC9B841">
            <w:pPr>
              <w:tabs>
                <w:tab w:val="left" w:pos="465"/>
              </w:tabs>
              <w:spacing w:after="0"/>
              <w:ind w:firstLine="480" w:firstLineChars="200"/>
              <w:jc w:val="center"/>
              <w:rPr>
                <w:rFonts w:hint="eastAsia" w:ascii="仿宋" w:hAnsi="仿宋" w:eastAsia="仿宋"/>
                <w:sz w:val="24"/>
                <w:szCs w:val="24"/>
              </w:rPr>
            </w:pPr>
          </w:p>
        </w:tc>
        <w:tc>
          <w:tcPr>
            <w:tcW w:w="2854" w:type="dxa"/>
            <w:vAlign w:val="center"/>
          </w:tcPr>
          <w:p w14:paraId="68AE6EB3">
            <w:pPr>
              <w:tabs>
                <w:tab w:val="left" w:pos="465"/>
              </w:tabs>
              <w:spacing w:after="0"/>
              <w:jc w:val="center"/>
              <w:rPr>
                <w:rFonts w:hint="eastAsia" w:ascii="仿宋" w:hAnsi="仿宋" w:eastAsia="仿宋"/>
                <w:sz w:val="24"/>
                <w:szCs w:val="24"/>
              </w:rPr>
            </w:pPr>
            <w:r>
              <w:rPr>
                <w:rFonts w:hint="eastAsia" w:ascii="仿宋" w:hAnsi="仿宋" w:eastAsia="仿宋"/>
                <w:sz w:val="24"/>
                <w:szCs w:val="24"/>
              </w:rPr>
              <w:t>其他农用地</w:t>
            </w:r>
          </w:p>
        </w:tc>
        <w:tc>
          <w:tcPr>
            <w:tcW w:w="3348" w:type="dxa"/>
            <w:vAlign w:val="center"/>
          </w:tcPr>
          <w:p w14:paraId="06D9C81C">
            <w:pPr>
              <w:tabs>
                <w:tab w:val="left" w:pos="465"/>
              </w:tabs>
              <w:spacing w:after="0"/>
              <w:jc w:val="center"/>
              <w:rPr>
                <w:rFonts w:hint="eastAsia" w:ascii="仿宋" w:hAnsi="仿宋" w:eastAsia="仿宋" w:cs="宋体"/>
                <w:sz w:val="24"/>
                <w:szCs w:val="24"/>
              </w:rPr>
            </w:pPr>
            <w:r>
              <w:rPr>
                <w:rFonts w:hint="eastAsia" w:ascii="仿宋" w:hAnsi="仿宋" w:eastAsia="仿宋" w:cs="宋体"/>
                <w:sz w:val="24"/>
                <w:szCs w:val="24"/>
              </w:rPr>
              <w:t>0.2850</w:t>
            </w:r>
          </w:p>
        </w:tc>
      </w:tr>
      <w:tr w14:paraId="4191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5206" w:type="dxa"/>
            <w:gridSpan w:val="2"/>
            <w:vAlign w:val="center"/>
          </w:tcPr>
          <w:p w14:paraId="5448E6D6">
            <w:pPr>
              <w:spacing w:after="0"/>
              <w:ind w:firstLine="482" w:firstLineChars="200"/>
              <w:jc w:val="center"/>
              <w:rPr>
                <w:rFonts w:hint="eastAsia" w:ascii="仿宋" w:hAnsi="仿宋" w:eastAsia="仿宋"/>
                <w:b/>
                <w:sz w:val="24"/>
                <w:szCs w:val="24"/>
              </w:rPr>
            </w:pPr>
            <w:r>
              <w:rPr>
                <w:rFonts w:hint="eastAsia" w:ascii="仿宋" w:hAnsi="仿宋" w:eastAsia="仿宋"/>
                <w:b/>
                <w:sz w:val="24"/>
                <w:szCs w:val="24"/>
              </w:rPr>
              <w:t>合计</w:t>
            </w:r>
          </w:p>
        </w:tc>
        <w:tc>
          <w:tcPr>
            <w:tcW w:w="3348" w:type="dxa"/>
            <w:vAlign w:val="center"/>
          </w:tcPr>
          <w:p w14:paraId="0BCC8EDD">
            <w:pPr>
              <w:spacing w:after="0"/>
              <w:jc w:val="center"/>
              <w:rPr>
                <w:rFonts w:hint="eastAsia" w:ascii="仿宋" w:hAnsi="仿宋" w:eastAsia="仿宋"/>
                <w:b/>
                <w:sz w:val="24"/>
                <w:szCs w:val="24"/>
              </w:rPr>
            </w:pPr>
            <w:r>
              <w:rPr>
                <w:rFonts w:hint="eastAsia" w:ascii="仿宋" w:hAnsi="仿宋" w:eastAsia="仿宋"/>
                <w:b/>
                <w:sz w:val="24"/>
                <w:szCs w:val="24"/>
              </w:rPr>
              <w:t>0.3026</w:t>
            </w:r>
          </w:p>
        </w:tc>
      </w:tr>
    </w:tbl>
    <w:p w14:paraId="046B7CD0">
      <w:pPr>
        <w:spacing w:after="0"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涉及</w:t>
      </w:r>
      <w:r>
        <w:rPr>
          <w:rFonts w:ascii="仿宋" w:hAnsi="仿宋" w:eastAsia="仿宋"/>
          <w:sz w:val="32"/>
          <w:szCs w:val="32"/>
        </w:rPr>
        <w:t>的</w:t>
      </w:r>
      <w:r>
        <w:rPr>
          <w:rFonts w:hint="eastAsia" w:ascii="仿宋" w:hAnsi="仿宋" w:eastAsia="仿宋"/>
          <w:sz w:val="32"/>
          <w:szCs w:val="32"/>
        </w:rPr>
        <w:t>农村村民住宅、其他地上附着物和青苗等的权属、种类、数量等信息</w:t>
      </w:r>
      <w:r>
        <w:rPr>
          <w:rFonts w:hint="eastAsia" w:ascii="仿宋" w:hAnsi="仿宋" w:eastAsia="仿宋"/>
          <w:color w:val="000000" w:themeColor="text1"/>
          <w:sz w:val="32"/>
          <w:szCs w:val="32"/>
          <w14:textFill>
            <w14:solidFill>
              <w14:schemeClr w14:val="tx1"/>
            </w14:solidFill>
          </w14:textFill>
        </w:rPr>
        <w:t>以</w:t>
      </w:r>
      <w:r>
        <w:rPr>
          <w:rFonts w:hint="eastAsia" w:ascii="仿宋" w:hAnsi="仿宋" w:eastAsia="仿宋"/>
          <w:sz w:val="32"/>
          <w:szCs w:val="32"/>
        </w:rPr>
        <w:t>拟征收土地利用</w:t>
      </w:r>
      <w:r>
        <w:rPr>
          <w:rFonts w:hint="eastAsia" w:ascii="仿宋" w:hAnsi="仿宋" w:eastAsia="仿宋"/>
          <w:color w:val="000000" w:themeColor="text1"/>
          <w:sz w:val="32"/>
          <w:szCs w:val="32"/>
          <w14:textFill>
            <w14:solidFill>
              <w14:schemeClr w14:val="tx1"/>
            </w14:solidFill>
          </w14:textFill>
        </w:rPr>
        <w:t>现状调查确认表为准。</w:t>
      </w:r>
    </w:p>
    <w:p w14:paraId="2A9FFD19">
      <w:pPr>
        <w:spacing w:after="0" w:line="560" w:lineRule="exact"/>
        <w:rPr>
          <w:rFonts w:hint="eastAsia" w:ascii="黑体" w:hAnsi="黑体" w:eastAsia="黑体"/>
          <w:sz w:val="32"/>
          <w:szCs w:val="32"/>
        </w:rPr>
      </w:pPr>
      <w:r>
        <w:rPr>
          <w:rFonts w:hint="eastAsia" w:ascii="黑体" w:hAnsi="黑体" w:eastAsia="黑体"/>
          <w:sz w:val="32"/>
          <w:szCs w:val="32"/>
        </w:rPr>
        <w:t>二、</w:t>
      </w:r>
      <w:r>
        <w:rPr>
          <w:rFonts w:ascii="黑体" w:hAnsi="黑体" w:eastAsia="黑体"/>
          <w:sz w:val="32"/>
          <w:szCs w:val="32"/>
        </w:rPr>
        <w:t>征收</w:t>
      </w:r>
      <w:r>
        <w:rPr>
          <w:rFonts w:hint="eastAsia" w:ascii="黑体" w:hAnsi="黑体" w:eastAsia="黑体"/>
          <w:sz w:val="32"/>
          <w:szCs w:val="32"/>
        </w:rPr>
        <w:t>目的</w:t>
      </w:r>
    </w:p>
    <w:p w14:paraId="56BD7123">
      <w:pPr>
        <w:spacing w:after="0" w:line="560" w:lineRule="exact"/>
        <w:ind w:firstLine="616" w:firstLineChars="200"/>
        <w:jc w:val="both"/>
        <w:rPr>
          <w:rFonts w:hint="eastAsia" w:ascii="仿宋" w:hAnsi="仿宋" w:eastAsia="仿宋"/>
          <w:sz w:val="32"/>
          <w:szCs w:val="32"/>
        </w:rPr>
      </w:pPr>
      <w:r>
        <w:rPr>
          <w:rFonts w:hint="eastAsia" w:ascii="仿宋" w:hAnsi="仿宋" w:eastAsia="仿宋"/>
          <w:spacing w:val="-6"/>
          <w:sz w:val="32"/>
          <w:szCs w:val="32"/>
        </w:rPr>
        <w:t>本次拟征收土地用途</w:t>
      </w:r>
      <w:r>
        <w:rPr>
          <w:rFonts w:ascii="仿宋" w:hAnsi="仿宋" w:eastAsia="仿宋"/>
          <w:spacing w:val="-6"/>
          <w:sz w:val="32"/>
          <w:szCs w:val="32"/>
        </w:rPr>
        <w:t>为</w:t>
      </w:r>
      <w:r>
        <w:rPr>
          <w:rFonts w:hint="eastAsia" w:ascii="仿宋" w:hAnsi="仿宋" w:eastAsia="仿宋" w:cs="仿宋_GB2312"/>
          <w:sz w:val="32"/>
          <w:szCs w:val="32"/>
        </w:rPr>
        <w:t>高等教育</w:t>
      </w:r>
      <w:r>
        <w:rPr>
          <w:rFonts w:ascii="仿宋" w:hAnsi="仿宋" w:eastAsia="仿宋"/>
          <w:spacing w:val="-6"/>
          <w:sz w:val="32"/>
          <w:szCs w:val="32"/>
        </w:rPr>
        <w:t>用地</w:t>
      </w:r>
      <w:r>
        <w:rPr>
          <w:rFonts w:hint="eastAsia" w:ascii="仿宋" w:hAnsi="仿宋" w:eastAsia="仿宋"/>
          <w:spacing w:val="-6"/>
          <w:sz w:val="32"/>
          <w:szCs w:val="32"/>
        </w:rPr>
        <w:t>，</w:t>
      </w:r>
      <w:r>
        <w:rPr>
          <w:rFonts w:ascii="仿宋" w:hAnsi="仿宋" w:eastAsia="仿宋"/>
          <w:spacing w:val="-6"/>
          <w:sz w:val="32"/>
          <w:szCs w:val="32"/>
        </w:rPr>
        <w:t>该用地符合《</w:t>
      </w:r>
      <w:r>
        <w:rPr>
          <w:rFonts w:hint="eastAsia" w:ascii="仿宋" w:hAnsi="仿宋" w:eastAsia="仿宋"/>
          <w:spacing w:val="-6"/>
          <w:sz w:val="32"/>
          <w:szCs w:val="32"/>
        </w:rPr>
        <w:t>中华</w:t>
      </w:r>
      <w:r>
        <w:rPr>
          <w:rFonts w:ascii="仿宋" w:hAnsi="仿宋" w:eastAsia="仿宋"/>
          <w:spacing w:val="-6"/>
          <w:sz w:val="32"/>
          <w:szCs w:val="32"/>
        </w:rPr>
        <w:t>人民共和国土地管理法》</w:t>
      </w:r>
      <w:r>
        <w:rPr>
          <w:rFonts w:hint="eastAsia" w:ascii="仿宋" w:hAnsi="仿宋" w:eastAsia="仿宋"/>
          <w:spacing w:val="-6"/>
          <w:sz w:val="32"/>
          <w:szCs w:val="32"/>
        </w:rPr>
        <w:t>第</w:t>
      </w:r>
      <w:r>
        <w:rPr>
          <w:rFonts w:ascii="仿宋" w:hAnsi="仿宋" w:eastAsia="仿宋"/>
          <w:spacing w:val="-6"/>
          <w:sz w:val="32"/>
          <w:szCs w:val="32"/>
        </w:rPr>
        <w:t>四十五条第</w:t>
      </w:r>
      <w:r>
        <w:rPr>
          <w:rFonts w:hint="eastAsia" w:ascii="仿宋" w:hAnsi="仿宋" w:eastAsia="仿宋" w:cs="仿宋_GB2312"/>
          <w:sz w:val="32"/>
          <w:szCs w:val="32"/>
        </w:rPr>
        <w:t>三</w:t>
      </w:r>
      <w:r>
        <w:rPr>
          <w:rFonts w:hint="eastAsia" w:ascii="仿宋" w:hAnsi="仿宋" w:eastAsia="仿宋"/>
          <w:spacing w:val="-6"/>
          <w:sz w:val="32"/>
          <w:szCs w:val="32"/>
        </w:rPr>
        <w:t>款</w:t>
      </w:r>
      <w:r>
        <w:rPr>
          <w:rFonts w:ascii="仿宋" w:hAnsi="仿宋" w:eastAsia="仿宋"/>
          <w:spacing w:val="-6"/>
          <w:sz w:val="32"/>
          <w:szCs w:val="32"/>
        </w:rPr>
        <w:t>规</w:t>
      </w:r>
      <w:r>
        <w:rPr>
          <w:rFonts w:ascii="仿宋" w:hAnsi="仿宋" w:eastAsia="仿宋"/>
          <w:sz w:val="32"/>
          <w:szCs w:val="32"/>
        </w:rPr>
        <w:t>定</w:t>
      </w:r>
      <w:r>
        <w:rPr>
          <w:rFonts w:hint="eastAsia" w:ascii="仿宋" w:hAnsi="仿宋" w:eastAsia="仿宋"/>
          <w:sz w:val="32"/>
          <w:szCs w:val="32"/>
        </w:rPr>
        <w:t>，确需征收农民集体所有土地。</w:t>
      </w:r>
    </w:p>
    <w:p w14:paraId="3CAA2960">
      <w:pPr>
        <w:spacing w:after="0" w:line="560" w:lineRule="exact"/>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670223A9">
      <w:pPr>
        <w:spacing w:after="0"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根据陕西省人民政府</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关于重新公布全省征收农用地区片综合地价的通告</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（陕政发〔2024〕4号）和周至县人民政府《关于重新公布全县征收农用地区片综合地价的通告》（周政告字〔2024〕4号），</w:t>
      </w:r>
      <w:r>
        <w:rPr>
          <w:rFonts w:ascii="仿宋" w:hAnsi="仿宋" w:eastAsia="仿宋"/>
          <w:color w:val="000000" w:themeColor="text1"/>
          <w:sz w:val="32"/>
          <w:szCs w:val="32"/>
          <w14:textFill>
            <w14:solidFill>
              <w14:schemeClr w14:val="tx1"/>
            </w14:solidFill>
          </w14:textFill>
        </w:rPr>
        <w:t>本次拟征收土地涉及</w:t>
      </w:r>
      <w:r>
        <w:rPr>
          <w:rFonts w:hint="eastAsia" w:ascii="仿宋" w:hAnsi="仿宋" w:eastAsia="仿宋" w:cs="仿宋_GB2312"/>
          <w:color w:val="000000" w:themeColor="text1"/>
          <w:sz w:val="32"/>
          <w:szCs w:val="32"/>
          <w14:textFill>
            <w14:solidFill>
              <w14:schemeClr w14:val="tx1"/>
            </w14:solidFill>
          </w14:textFill>
        </w:rPr>
        <w:t>一</w:t>
      </w:r>
      <w:r>
        <w:rPr>
          <w:rFonts w:ascii="仿宋" w:hAnsi="仿宋" w:eastAsia="仿宋"/>
          <w:color w:val="000000" w:themeColor="text1"/>
          <w:sz w:val="32"/>
          <w:szCs w:val="32"/>
          <w14:textFill>
            <w14:solidFill>
              <w14:schemeClr w14:val="tx1"/>
            </w14:solidFill>
          </w14:textFill>
        </w:rPr>
        <w:t>个征地</w:t>
      </w:r>
      <w:r>
        <w:rPr>
          <w:rFonts w:hint="eastAsia" w:ascii="仿宋" w:hAnsi="仿宋" w:eastAsia="仿宋"/>
          <w:color w:val="000000" w:themeColor="text1"/>
          <w:sz w:val="32"/>
          <w:szCs w:val="32"/>
          <w14:textFill>
            <w14:solidFill>
              <w14:schemeClr w14:val="tx1"/>
            </w14:solidFill>
          </w14:textFill>
        </w:rPr>
        <w:t>综合地价</w:t>
      </w:r>
      <w:r>
        <w:rPr>
          <w:rFonts w:ascii="仿宋" w:hAnsi="仿宋" w:eastAsia="仿宋"/>
          <w:color w:val="000000" w:themeColor="text1"/>
          <w:sz w:val="32"/>
          <w:szCs w:val="32"/>
          <w14:textFill>
            <w14:solidFill>
              <w14:schemeClr w14:val="tx1"/>
            </w14:solidFill>
          </w14:textFill>
        </w:rPr>
        <w:t>区片</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其中</w:t>
      </w:r>
      <w:r>
        <w:rPr>
          <w:rFonts w:hint="eastAsia" w:ascii="仿宋" w:hAnsi="仿宋" w:eastAsia="仿宋"/>
          <w:color w:val="000000" w:themeColor="text1"/>
          <w:sz w:val="32"/>
          <w:szCs w:val="32"/>
          <w14:textFill>
            <w14:solidFill>
              <w14:schemeClr w14:val="tx1"/>
            </w14:solidFill>
          </w14:textFill>
        </w:rPr>
        <w:t>，楼观镇人民政府土地</w:t>
      </w:r>
      <w:r>
        <w:rPr>
          <w:rFonts w:ascii="仿宋" w:hAnsi="仿宋" w:eastAsia="仿宋"/>
          <w:color w:val="000000" w:themeColor="text1"/>
          <w:sz w:val="32"/>
          <w:szCs w:val="32"/>
          <w14:textFill>
            <w14:solidFill>
              <w14:schemeClr w14:val="tx1"/>
            </w14:solidFill>
          </w14:textFill>
        </w:rPr>
        <w:t>补偿标准为</w:t>
      </w:r>
      <w:r>
        <w:rPr>
          <w:rFonts w:hint="eastAsia" w:ascii="仿宋" w:hAnsi="仿宋" w:eastAsia="仿宋" w:cs="仿宋_GB2312"/>
          <w:color w:val="000000" w:themeColor="text1"/>
          <w:sz w:val="32"/>
          <w:szCs w:val="32"/>
          <w14:textFill>
            <w14:solidFill>
              <w14:schemeClr w14:val="tx1"/>
            </w14:solidFill>
          </w14:textFill>
        </w:rPr>
        <w:t>75.3</w:t>
      </w:r>
      <w:r>
        <w:rPr>
          <w:rFonts w:hint="eastAsia" w:ascii="仿宋" w:hAnsi="仿宋" w:eastAsia="仿宋"/>
          <w:color w:val="000000" w:themeColor="text1"/>
          <w:sz w:val="32"/>
          <w:szCs w:val="32"/>
          <w14:textFill>
            <w14:solidFill>
              <w14:schemeClr w14:val="tx1"/>
            </w14:solidFill>
          </w14:textFill>
        </w:rPr>
        <w:t>万</w:t>
      </w:r>
      <w:r>
        <w:rPr>
          <w:rFonts w:hint="eastAsia" w:ascii="仿宋" w:hAnsi="仿宋" w:eastAsia="仿宋" w:cs="仿宋_GB2312"/>
          <w:color w:val="000000" w:themeColor="text1"/>
          <w:sz w:val="32"/>
          <w:szCs w:val="32"/>
          <w14:textFill>
            <w14:solidFill>
              <w14:schemeClr w14:val="tx1"/>
            </w14:solidFill>
          </w14:textFill>
        </w:rPr>
        <w:t>元/公顷</w:t>
      </w:r>
      <w:r>
        <w:rPr>
          <w:rFonts w:hint="eastAsia" w:ascii="仿宋" w:hAnsi="仿宋" w:eastAsia="仿宋"/>
          <w:color w:val="000000" w:themeColor="text1"/>
          <w:sz w:val="32"/>
          <w:szCs w:val="32"/>
          <w14:textFill>
            <w14:solidFill>
              <w14:schemeClr w14:val="tx1"/>
            </w14:solidFill>
          </w14:textFill>
        </w:rPr>
        <w:t>，省</w:t>
      </w:r>
      <w:r>
        <w:rPr>
          <w:rFonts w:ascii="仿宋" w:hAnsi="仿宋" w:eastAsia="仿宋"/>
          <w:color w:val="000000" w:themeColor="text1"/>
          <w:sz w:val="32"/>
          <w:szCs w:val="32"/>
          <w14:textFill>
            <w14:solidFill>
              <w14:schemeClr w14:val="tx1"/>
            </w14:solidFill>
          </w14:textFill>
        </w:rPr>
        <w:t>村</w:t>
      </w:r>
      <w:r>
        <w:rPr>
          <w:rFonts w:hint="eastAsia" w:ascii="仿宋" w:hAnsi="仿宋" w:eastAsia="仿宋"/>
          <w:color w:val="000000" w:themeColor="text1"/>
          <w:sz w:val="32"/>
          <w:szCs w:val="32"/>
          <w14:textFill>
            <w14:solidFill>
              <w14:schemeClr w14:val="tx1"/>
            </w14:solidFill>
          </w14:textFill>
        </w:rPr>
        <w:t>土地</w:t>
      </w:r>
      <w:r>
        <w:rPr>
          <w:rFonts w:ascii="仿宋" w:hAnsi="仿宋" w:eastAsia="仿宋"/>
          <w:color w:val="000000" w:themeColor="text1"/>
          <w:sz w:val="32"/>
          <w:szCs w:val="32"/>
          <w14:textFill>
            <w14:solidFill>
              <w14:schemeClr w14:val="tx1"/>
            </w14:solidFill>
          </w14:textFill>
        </w:rPr>
        <w:t>补偿标准为</w:t>
      </w:r>
      <w:r>
        <w:rPr>
          <w:rFonts w:hint="eastAsia" w:ascii="仿宋" w:hAnsi="仿宋" w:eastAsia="仿宋" w:cs="仿宋_GB2312"/>
          <w:color w:val="000000" w:themeColor="text1"/>
          <w:sz w:val="32"/>
          <w:szCs w:val="32"/>
          <w14:textFill>
            <w14:solidFill>
              <w14:schemeClr w14:val="tx1"/>
            </w14:solidFill>
          </w14:textFill>
        </w:rPr>
        <w:t>75.3</w:t>
      </w:r>
      <w:r>
        <w:rPr>
          <w:rFonts w:hint="eastAsia" w:ascii="仿宋" w:hAnsi="仿宋" w:eastAsia="仿宋"/>
          <w:color w:val="000000" w:themeColor="text1"/>
          <w:sz w:val="32"/>
          <w:szCs w:val="32"/>
          <w14:textFill>
            <w14:solidFill>
              <w14:schemeClr w14:val="tx1"/>
            </w14:solidFill>
          </w14:textFill>
        </w:rPr>
        <w:t>万</w:t>
      </w:r>
      <w:r>
        <w:rPr>
          <w:rFonts w:hint="eastAsia" w:ascii="仿宋" w:hAnsi="仿宋" w:eastAsia="仿宋" w:cs="仿宋_GB2312"/>
          <w:color w:val="000000" w:themeColor="text1"/>
          <w:sz w:val="32"/>
          <w:szCs w:val="32"/>
          <w14:textFill>
            <w14:solidFill>
              <w14:schemeClr w14:val="tx1"/>
            </w14:solidFill>
          </w14:textFill>
        </w:rPr>
        <w:t>元/公顷</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焦镇</w:t>
      </w:r>
      <w:r>
        <w:rPr>
          <w:rFonts w:ascii="仿宋" w:hAnsi="仿宋" w:eastAsia="仿宋"/>
          <w:color w:val="000000" w:themeColor="text1"/>
          <w:sz w:val="32"/>
          <w:szCs w:val="32"/>
          <w14:textFill>
            <w14:solidFill>
              <w14:schemeClr w14:val="tx1"/>
            </w14:solidFill>
          </w14:textFill>
        </w:rPr>
        <w:t>村</w:t>
      </w:r>
      <w:r>
        <w:rPr>
          <w:rFonts w:hint="eastAsia" w:ascii="仿宋" w:hAnsi="仿宋" w:eastAsia="仿宋"/>
          <w:color w:val="000000" w:themeColor="text1"/>
          <w:sz w:val="32"/>
          <w:szCs w:val="32"/>
          <w14:textFill>
            <w14:solidFill>
              <w14:schemeClr w14:val="tx1"/>
            </w14:solidFill>
          </w14:textFill>
        </w:rPr>
        <w:t>土地</w:t>
      </w:r>
      <w:r>
        <w:rPr>
          <w:rFonts w:ascii="仿宋" w:hAnsi="仿宋" w:eastAsia="仿宋"/>
          <w:color w:val="000000" w:themeColor="text1"/>
          <w:sz w:val="32"/>
          <w:szCs w:val="32"/>
          <w14:textFill>
            <w14:solidFill>
              <w14:schemeClr w14:val="tx1"/>
            </w14:solidFill>
          </w14:textFill>
        </w:rPr>
        <w:t>补偿标准为</w:t>
      </w:r>
      <w:r>
        <w:rPr>
          <w:rFonts w:hint="eastAsia" w:ascii="仿宋" w:hAnsi="仿宋" w:eastAsia="仿宋" w:cs="仿宋_GB2312"/>
          <w:color w:val="000000" w:themeColor="text1"/>
          <w:sz w:val="32"/>
          <w:szCs w:val="32"/>
          <w14:textFill>
            <w14:solidFill>
              <w14:schemeClr w14:val="tx1"/>
            </w14:solidFill>
          </w14:textFill>
        </w:rPr>
        <w:t>75.3</w:t>
      </w:r>
      <w:r>
        <w:rPr>
          <w:rFonts w:hint="eastAsia" w:ascii="仿宋" w:hAnsi="仿宋" w:eastAsia="仿宋"/>
          <w:color w:val="000000" w:themeColor="text1"/>
          <w:sz w:val="32"/>
          <w:szCs w:val="32"/>
          <w14:textFill>
            <w14:solidFill>
              <w14:schemeClr w14:val="tx1"/>
            </w14:solidFill>
          </w14:textFill>
        </w:rPr>
        <w:t>万</w:t>
      </w:r>
      <w:r>
        <w:rPr>
          <w:rFonts w:hint="eastAsia" w:ascii="仿宋" w:hAnsi="仿宋" w:eastAsia="仿宋" w:cs="仿宋_GB2312"/>
          <w:color w:val="000000" w:themeColor="text1"/>
          <w:sz w:val="32"/>
          <w:szCs w:val="32"/>
          <w14:textFill>
            <w14:solidFill>
              <w14:schemeClr w14:val="tx1"/>
            </w14:solidFill>
          </w14:textFill>
        </w:rPr>
        <w:t>元/公顷</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八一</w:t>
      </w:r>
      <w:r>
        <w:rPr>
          <w:rFonts w:ascii="仿宋" w:hAnsi="仿宋" w:eastAsia="仿宋"/>
          <w:color w:val="000000" w:themeColor="text1"/>
          <w:sz w:val="32"/>
          <w:szCs w:val="32"/>
          <w14:textFill>
            <w14:solidFill>
              <w14:schemeClr w14:val="tx1"/>
            </w14:solidFill>
          </w14:textFill>
        </w:rPr>
        <w:t>村</w:t>
      </w:r>
      <w:r>
        <w:rPr>
          <w:rFonts w:hint="eastAsia" w:ascii="仿宋" w:hAnsi="仿宋" w:eastAsia="仿宋"/>
          <w:color w:val="000000" w:themeColor="text1"/>
          <w:sz w:val="32"/>
          <w:szCs w:val="32"/>
          <w14:textFill>
            <w14:solidFill>
              <w14:schemeClr w14:val="tx1"/>
            </w14:solidFill>
          </w14:textFill>
        </w:rPr>
        <w:t>土地</w:t>
      </w:r>
      <w:r>
        <w:rPr>
          <w:rFonts w:ascii="仿宋" w:hAnsi="仿宋" w:eastAsia="仿宋"/>
          <w:color w:val="000000" w:themeColor="text1"/>
          <w:sz w:val="32"/>
          <w:szCs w:val="32"/>
          <w14:textFill>
            <w14:solidFill>
              <w14:schemeClr w14:val="tx1"/>
            </w14:solidFill>
          </w14:textFill>
        </w:rPr>
        <w:t>补偿标准为</w:t>
      </w:r>
      <w:r>
        <w:rPr>
          <w:rFonts w:hint="eastAsia" w:ascii="仿宋" w:hAnsi="仿宋" w:eastAsia="仿宋" w:cs="仿宋_GB2312"/>
          <w:color w:val="000000" w:themeColor="text1"/>
          <w:sz w:val="32"/>
          <w:szCs w:val="32"/>
          <w14:textFill>
            <w14:solidFill>
              <w14:schemeClr w14:val="tx1"/>
            </w14:solidFill>
          </w14:textFill>
        </w:rPr>
        <w:t>75.3</w:t>
      </w:r>
      <w:r>
        <w:rPr>
          <w:rFonts w:hint="eastAsia" w:ascii="仿宋" w:hAnsi="仿宋" w:eastAsia="仿宋"/>
          <w:color w:val="000000" w:themeColor="text1"/>
          <w:sz w:val="32"/>
          <w:szCs w:val="32"/>
          <w14:textFill>
            <w14:solidFill>
              <w14:schemeClr w14:val="tx1"/>
            </w14:solidFill>
          </w14:textFill>
        </w:rPr>
        <w:t>万</w:t>
      </w:r>
      <w:r>
        <w:rPr>
          <w:rFonts w:hint="eastAsia" w:ascii="仿宋" w:hAnsi="仿宋" w:eastAsia="仿宋" w:cs="仿宋_GB2312"/>
          <w:color w:val="000000" w:themeColor="text1"/>
          <w:sz w:val="32"/>
          <w:szCs w:val="32"/>
          <w14:textFill>
            <w14:solidFill>
              <w14:schemeClr w14:val="tx1"/>
            </w14:solidFill>
          </w14:textFill>
        </w:rPr>
        <w:t>元/公顷</w:t>
      </w:r>
      <w:r>
        <w:rPr>
          <w:rFonts w:hint="eastAsia" w:ascii="仿宋" w:hAnsi="仿宋" w:eastAsia="仿宋"/>
          <w:color w:val="000000" w:themeColor="text1"/>
          <w:sz w:val="32"/>
          <w:szCs w:val="32"/>
          <w14:textFill>
            <w14:solidFill>
              <w14:schemeClr w14:val="tx1"/>
            </w14:solidFill>
          </w14:textFill>
        </w:rPr>
        <w:t>。</w:t>
      </w:r>
    </w:p>
    <w:p w14:paraId="581EF7CA">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2.本次拟征收土地范围内的农村村民住宅及其他建筑物据实补偿。</w:t>
      </w:r>
    </w:p>
    <w:p w14:paraId="3714E1B7">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3.本次拟征收土地范围内的青苗和地上附着物等补偿参照《周至县人民政府办公室关于印发&lt;西安楼观生态文化旅游度假区华清学院项目土地征收及被征地农民生活保障实施方案&gt;的通知》</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sz w:val="32"/>
          <w:szCs w:val="32"/>
        </w:rPr>
        <w:t>周政办函〔2021〕9号</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sz w:val="32"/>
          <w:szCs w:val="32"/>
        </w:rPr>
        <w:t>现行补偿标准执行。</w:t>
      </w:r>
    </w:p>
    <w:p w14:paraId="37240172">
      <w:pPr>
        <w:spacing w:after="0" w:line="560" w:lineRule="exact"/>
        <w:ind w:firstLine="640" w:firstLineChars="200"/>
        <w:rPr>
          <w:rFonts w:hint="eastAsia" w:ascii="仿宋" w:hAnsi="仿宋" w:eastAsia="仿宋"/>
          <w:color w:val="000000" w:themeColor="text1"/>
          <w:spacing w:val="-20"/>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4.被征地农民采取</w:t>
      </w:r>
      <w:r>
        <w:rPr>
          <w:rFonts w:hint="eastAsia" w:ascii="仿宋" w:hAnsi="仿宋" w:eastAsia="仿宋"/>
          <w:color w:val="000000" w:themeColor="text1"/>
          <w:spacing w:val="-20"/>
          <w:sz w:val="32"/>
          <w:szCs w:val="32"/>
          <w14:textFill>
            <w14:solidFill>
              <w14:schemeClr w14:val="tx1"/>
            </w14:solidFill>
          </w14:textFill>
        </w:rPr>
        <w:t>货币安置、社会保险安置的</w:t>
      </w:r>
      <w:r>
        <w:rPr>
          <w:rFonts w:hint="eastAsia" w:ascii="仿宋" w:hAnsi="仿宋" w:eastAsia="仿宋"/>
          <w:color w:val="000000" w:themeColor="text1"/>
          <w:sz w:val="32"/>
          <w:szCs w:val="32"/>
          <w14:textFill>
            <w14:solidFill>
              <w14:schemeClr w14:val="tx1"/>
            </w14:solidFill>
          </w14:textFill>
        </w:rPr>
        <w:t>形式予以</w:t>
      </w:r>
      <w:r>
        <w:rPr>
          <w:rFonts w:ascii="仿宋" w:hAnsi="仿宋" w:eastAsia="仿宋"/>
          <w:color w:val="000000" w:themeColor="text1"/>
          <w:sz w:val="32"/>
          <w:szCs w:val="32"/>
          <w14:textFill>
            <w14:solidFill>
              <w14:schemeClr w14:val="tx1"/>
            </w14:solidFill>
          </w14:textFill>
        </w:rPr>
        <w:t>保障。</w:t>
      </w:r>
    </w:p>
    <w:p w14:paraId="7B5855B1">
      <w:pPr>
        <w:spacing w:after="0" w:line="560" w:lineRule="exact"/>
        <w:rPr>
          <w:rFonts w:hint="eastAsia"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补偿登记办理</w:t>
      </w:r>
      <w:r>
        <w:rPr>
          <w:rFonts w:ascii="黑体" w:hAnsi="黑体" w:eastAsia="黑体"/>
          <w:sz w:val="32"/>
          <w:szCs w:val="32"/>
        </w:rPr>
        <w:t>时间及地点</w:t>
      </w:r>
    </w:p>
    <w:p w14:paraId="4E9B8722">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本次拟征收土地的所有权人、使用权人应当于</w:t>
      </w:r>
      <w:r>
        <w:rPr>
          <w:rFonts w:hint="eastAsia" w:ascii="仿宋" w:hAnsi="仿宋" w:eastAsia="仿宋" w:cs="仿宋_GB2312"/>
          <w:sz w:val="32"/>
          <w:szCs w:val="32"/>
        </w:rPr>
        <w:t>2024年12月19日-2025年1月18日</w:t>
      </w:r>
      <w:r>
        <w:rPr>
          <w:rFonts w:hint="eastAsia" w:ascii="仿宋" w:hAnsi="仿宋" w:eastAsia="仿宋"/>
          <w:sz w:val="32"/>
          <w:szCs w:val="32"/>
        </w:rPr>
        <w:t>持不动产权属证明及</w:t>
      </w:r>
      <w:r>
        <w:rPr>
          <w:rFonts w:ascii="仿宋" w:hAnsi="仿宋" w:eastAsia="仿宋"/>
          <w:sz w:val="32"/>
          <w:szCs w:val="32"/>
        </w:rPr>
        <w:t>相关</w:t>
      </w:r>
      <w:r>
        <w:rPr>
          <w:rFonts w:hint="eastAsia" w:ascii="仿宋" w:hAnsi="仿宋" w:eastAsia="仿宋"/>
          <w:sz w:val="32"/>
          <w:szCs w:val="32"/>
        </w:rPr>
        <w:t>权属材料，到</w:t>
      </w:r>
      <w:r>
        <w:rPr>
          <w:rFonts w:hint="eastAsia" w:ascii="仿宋" w:hAnsi="仿宋" w:eastAsia="仿宋" w:cs="仿宋_GB2312"/>
          <w:sz w:val="32"/>
          <w:szCs w:val="32"/>
        </w:rPr>
        <w:t>楼观镇人民政府</w:t>
      </w:r>
      <w:r>
        <w:rPr>
          <w:rFonts w:hint="eastAsia" w:ascii="仿宋" w:hAnsi="仿宋" w:eastAsia="仿宋"/>
          <w:sz w:val="32"/>
          <w:szCs w:val="32"/>
        </w:rPr>
        <w:t>办理补偿登记。在规定期限内不办理土地补偿登记的，将以土地现状调查结果为准。</w:t>
      </w:r>
    </w:p>
    <w:p w14:paraId="3F9BFA6B">
      <w:pPr>
        <w:spacing w:after="0" w:line="560" w:lineRule="exact"/>
        <w:rPr>
          <w:rFonts w:hint="eastAsia" w:ascii="黑体" w:hAnsi="黑体" w:eastAsia="黑体"/>
          <w:sz w:val="32"/>
          <w:szCs w:val="32"/>
        </w:rPr>
      </w:pPr>
      <w:r>
        <w:rPr>
          <w:rFonts w:hint="eastAsia" w:ascii="黑体" w:hAnsi="黑体" w:eastAsia="黑体"/>
          <w:sz w:val="32"/>
          <w:szCs w:val="32"/>
        </w:rPr>
        <w:t>五</w:t>
      </w:r>
      <w:r>
        <w:rPr>
          <w:rFonts w:ascii="黑体" w:hAnsi="黑体" w:eastAsia="黑体"/>
          <w:sz w:val="32"/>
          <w:szCs w:val="32"/>
        </w:rPr>
        <w:t>、</w:t>
      </w:r>
      <w:r>
        <w:rPr>
          <w:rFonts w:hint="eastAsia" w:ascii="黑体" w:hAnsi="黑体" w:eastAsia="黑体"/>
          <w:sz w:val="32"/>
          <w:szCs w:val="32"/>
        </w:rPr>
        <w:t>其他事项</w:t>
      </w:r>
    </w:p>
    <w:p w14:paraId="5DE2B742">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自</w:t>
      </w:r>
      <w:r>
        <w:rPr>
          <w:rFonts w:ascii="仿宋" w:hAnsi="仿宋" w:eastAsia="仿宋"/>
          <w:sz w:val="32"/>
          <w:szCs w:val="32"/>
        </w:rPr>
        <w:t>本公告</w:t>
      </w:r>
      <w:r>
        <w:rPr>
          <w:rFonts w:hint="eastAsia" w:ascii="仿宋" w:hAnsi="仿宋" w:eastAsia="仿宋"/>
          <w:sz w:val="32"/>
          <w:szCs w:val="32"/>
        </w:rPr>
        <w:t>发布</w:t>
      </w:r>
      <w:r>
        <w:rPr>
          <w:rFonts w:ascii="仿宋" w:hAnsi="仿宋" w:eastAsia="仿宋"/>
          <w:sz w:val="32"/>
          <w:szCs w:val="32"/>
        </w:rPr>
        <w:t>之日起</w:t>
      </w:r>
      <w:r>
        <w:rPr>
          <w:rFonts w:hint="eastAsia" w:ascii="仿宋" w:hAnsi="仿宋" w:eastAsia="仿宋"/>
          <w:sz w:val="32"/>
          <w:szCs w:val="32"/>
        </w:rPr>
        <w:t>30日</w:t>
      </w:r>
      <w:r>
        <w:rPr>
          <w:rFonts w:ascii="仿宋" w:hAnsi="仿宋" w:eastAsia="仿宋"/>
          <w:sz w:val="32"/>
          <w:szCs w:val="32"/>
        </w:rPr>
        <w:t>内</w:t>
      </w:r>
      <w:r>
        <w:rPr>
          <w:rFonts w:hint="eastAsia" w:ascii="仿宋" w:hAnsi="仿宋" w:eastAsia="仿宋"/>
          <w:sz w:val="32"/>
          <w:szCs w:val="32"/>
        </w:rPr>
        <w:t>，多数被征地的农村集体经济组织成员认为《征地补偿安置公告》不符合法律、法规规定或有</w:t>
      </w:r>
      <w:r>
        <w:rPr>
          <w:rFonts w:ascii="仿宋" w:hAnsi="仿宋" w:eastAsia="仿宋"/>
          <w:sz w:val="32"/>
          <w:szCs w:val="32"/>
        </w:rPr>
        <w:t>不同意见的</w:t>
      </w:r>
      <w:r>
        <w:rPr>
          <w:rFonts w:hint="eastAsia" w:ascii="仿宋" w:hAnsi="仿宋" w:eastAsia="仿宋"/>
          <w:sz w:val="32"/>
          <w:szCs w:val="32"/>
        </w:rPr>
        <w:t>，应当在本公告期内向区县政府、开发区管委会提出具体意见</w:t>
      </w:r>
      <w:r>
        <w:rPr>
          <w:rFonts w:ascii="仿宋" w:hAnsi="仿宋" w:eastAsia="仿宋"/>
          <w:sz w:val="32"/>
          <w:szCs w:val="32"/>
        </w:rPr>
        <w:t>；要求听证的</w:t>
      </w:r>
      <w:r>
        <w:rPr>
          <w:rFonts w:hint="eastAsia" w:ascii="仿宋" w:hAnsi="仿宋" w:eastAsia="仿宋"/>
          <w:sz w:val="32"/>
          <w:szCs w:val="32"/>
        </w:rPr>
        <w:t>应</w:t>
      </w:r>
      <w:r>
        <w:rPr>
          <w:rFonts w:ascii="仿宋" w:hAnsi="仿宋" w:eastAsia="仿宋"/>
          <w:sz w:val="32"/>
          <w:szCs w:val="32"/>
        </w:rPr>
        <w:t>书面提出</w:t>
      </w:r>
      <w:r>
        <w:rPr>
          <w:rFonts w:hint="eastAsia" w:ascii="仿宋" w:hAnsi="仿宋" w:eastAsia="仿宋"/>
          <w:sz w:val="32"/>
          <w:szCs w:val="32"/>
        </w:rPr>
        <w:t>申请，逾期未提出具体</w:t>
      </w:r>
      <w:r>
        <w:rPr>
          <w:rFonts w:ascii="仿宋" w:hAnsi="仿宋" w:eastAsia="仿宋"/>
          <w:sz w:val="32"/>
          <w:szCs w:val="32"/>
        </w:rPr>
        <w:t>意见或听证申请</w:t>
      </w:r>
      <w:r>
        <w:rPr>
          <w:rFonts w:hint="eastAsia" w:ascii="仿宋" w:hAnsi="仿宋" w:eastAsia="仿宋"/>
          <w:sz w:val="32"/>
          <w:szCs w:val="32"/>
        </w:rPr>
        <w:t>的，视为放弃</w:t>
      </w:r>
      <w:r>
        <w:rPr>
          <w:rFonts w:ascii="仿宋" w:hAnsi="仿宋" w:eastAsia="仿宋"/>
          <w:sz w:val="32"/>
          <w:szCs w:val="32"/>
        </w:rPr>
        <w:t>。</w:t>
      </w:r>
      <w:r>
        <w:rPr>
          <w:rFonts w:hint="eastAsia" w:ascii="仿宋" w:hAnsi="仿宋" w:eastAsia="仿宋"/>
          <w:sz w:val="32"/>
          <w:szCs w:val="32"/>
        </w:rPr>
        <w:t>本公告期满后将按照补偿登记结果与拟征收土地所有权人、使用权人签订《征地补偿安置协议》</w:t>
      </w:r>
      <w:r>
        <w:rPr>
          <w:rFonts w:ascii="仿宋" w:hAnsi="仿宋" w:eastAsia="仿宋"/>
          <w:sz w:val="32"/>
          <w:szCs w:val="32"/>
        </w:rPr>
        <w:t>。</w:t>
      </w:r>
    </w:p>
    <w:p w14:paraId="5D9D3764">
      <w:pPr>
        <w:spacing w:after="0" w:line="560" w:lineRule="exact"/>
        <w:ind w:firstLine="640" w:firstLineChars="200"/>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14:paraId="7362DE0D">
      <w:pPr>
        <w:spacing w:after="0" w:line="560" w:lineRule="exact"/>
        <w:ind w:firstLine="640" w:firstLineChars="200"/>
        <w:rPr>
          <w:rFonts w:hint="eastAsia" w:ascii="仿宋" w:hAnsi="仿宋" w:eastAsia="仿宋"/>
          <w:sz w:val="32"/>
          <w:szCs w:val="32"/>
        </w:rPr>
      </w:pPr>
    </w:p>
    <w:p w14:paraId="32ED9A0D">
      <w:pPr>
        <w:spacing w:after="0" w:line="560" w:lineRule="exact"/>
        <w:ind w:firstLine="640" w:firstLineChars="200"/>
        <w:rPr>
          <w:rFonts w:hint="eastAsia" w:ascii="仿宋" w:hAnsi="仿宋" w:eastAsia="仿宋"/>
          <w:sz w:val="32"/>
          <w:szCs w:val="32"/>
        </w:rPr>
      </w:pPr>
    </w:p>
    <w:p w14:paraId="603BABFA">
      <w:pPr>
        <w:wordWrap w:val="0"/>
        <w:spacing w:before="468" w:beforeLines="150" w:after="0" w:line="560" w:lineRule="exact"/>
        <w:ind w:firstLine="640" w:firstLineChars="200"/>
        <w:jc w:val="right"/>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cs="仿宋_GB2312"/>
          <w:sz w:val="32"/>
          <w:szCs w:val="32"/>
        </w:rPr>
        <w:t>24</w:t>
      </w:r>
      <w:r>
        <w:rPr>
          <w:rFonts w:ascii="仿宋" w:hAnsi="仿宋" w:eastAsia="仿宋"/>
          <w:sz w:val="32"/>
          <w:szCs w:val="32"/>
        </w:rPr>
        <w:t>年</w:t>
      </w:r>
      <w:r>
        <w:rPr>
          <w:rFonts w:hint="eastAsia" w:ascii="仿宋" w:hAnsi="仿宋" w:eastAsia="仿宋" w:cs="仿宋_GB2312"/>
          <w:sz w:val="32"/>
          <w:szCs w:val="32"/>
        </w:rPr>
        <w:t>12</w:t>
      </w:r>
      <w:r>
        <w:rPr>
          <w:rFonts w:ascii="仿宋" w:hAnsi="仿宋" w:eastAsia="仿宋"/>
          <w:sz w:val="32"/>
          <w:szCs w:val="32"/>
        </w:rPr>
        <w:t>月</w:t>
      </w:r>
      <w:r>
        <w:rPr>
          <w:rFonts w:hint="eastAsia" w:ascii="仿宋" w:hAnsi="仿宋" w:eastAsia="仿宋" w:cs="仿宋_GB2312"/>
          <w:sz w:val="32"/>
          <w:szCs w:val="32"/>
        </w:rPr>
        <w:t>19</w:t>
      </w:r>
      <w:r>
        <w:rPr>
          <w:rFonts w:ascii="仿宋" w:hAnsi="仿宋" w:eastAsia="仿宋"/>
          <w:sz w:val="32"/>
          <w:szCs w:val="32"/>
        </w:rPr>
        <w:t>日</w:t>
      </w:r>
      <w:r>
        <w:rPr>
          <w:rFonts w:hint="eastAsia" w:ascii="仿宋" w:hAnsi="仿宋" w:eastAsia="仿宋"/>
          <w:sz w:val="32"/>
          <w:szCs w:val="32"/>
        </w:rPr>
        <w:t xml:space="preserve">        </w:t>
      </w:r>
    </w:p>
    <w:p w14:paraId="6C418C0E">
      <w:pPr>
        <w:spacing w:before="468" w:beforeLines="150" w:after="0" w:line="560" w:lineRule="exact"/>
        <w:rPr>
          <w:rFonts w:hint="eastAsia" w:ascii="仿宋" w:hAnsi="仿宋" w:eastAsia="仿宋"/>
          <w:sz w:val="32"/>
          <w:szCs w:val="32"/>
        </w:rPr>
      </w:pPr>
    </w:p>
    <w:sectPr>
      <w:pgSz w:w="11906" w:h="16838"/>
      <w:pgMar w:top="2098" w:right="1474"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63DF5E-5D51-4DFB-AC1E-4C7E4366E14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embedRegular r:id="rId2" w:fontKey="{5C6BE5AE-8988-4492-9E37-293459DEC18A}"/>
  </w:font>
  <w:font w:name="方正小标宋简体">
    <w:panose1 w:val="03000509000000000000"/>
    <w:charset w:val="86"/>
    <w:family w:val="script"/>
    <w:pitch w:val="default"/>
    <w:sig w:usb0="00000001" w:usb1="080E0000" w:usb2="00000000" w:usb3="00000000" w:csb0="00040000" w:csb1="00000000"/>
    <w:embedRegular r:id="rId3" w:fontKey="{E1A1F31E-5486-4FA8-936B-332FDD762A2F}"/>
  </w:font>
  <w:font w:name="仿宋">
    <w:panose1 w:val="02010609060101010101"/>
    <w:charset w:val="86"/>
    <w:family w:val="modern"/>
    <w:pitch w:val="default"/>
    <w:sig w:usb0="800002BF" w:usb1="38CF7CFA" w:usb2="00000016" w:usb3="00000000" w:csb0="00040001" w:csb1="00000000"/>
    <w:embedRegular r:id="rId4" w:fontKey="{E1252402-C594-4853-9768-1284AEB63759}"/>
  </w:font>
  <w:font w:name="仿宋_GB2312">
    <w:panose1 w:val="02010609030101010101"/>
    <w:charset w:val="86"/>
    <w:family w:val="modern"/>
    <w:pitch w:val="default"/>
    <w:sig w:usb0="00000001" w:usb1="080E0000" w:usb2="00000000" w:usb3="00000000" w:csb0="00040000" w:csb1="00000000"/>
    <w:embedRegular r:id="rId5" w:fontKey="{86BE810C-5AA1-4400-8BE2-42E10716D19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7332C"/>
    <w:rsid w:val="00052EFE"/>
    <w:rsid w:val="00170481"/>
    <w:rsid w:val="001B72BE"/>
    <w:rsid w:val="004E0EC1"/>
    <w:rsid w:val="005A734D"/>
    <w:rsid w:val="005C4170"/>
    <w:rsid w:val="00617CC9"/>
    <w:rsid w:val="006A704F"/>
    <w:rsid w:val="007A04F2"/>
    <w:rsid w:val="008849E1"/>
    <w:rsid w:val="00A1687C"/>
    <w:rsid w:val="00A77B42"/>
    <w:rsid w:val="00AA38E4"/>
    <w:rsid w:val="00AD1C52"/>
    <w:rsid w:val="00B25CC6"/>
    <w:rsid w:val="00C721BD"/>
    <w:rsid w:val="00CA0990"/>
    <w:rsid w:val="00CF23F7"/>
    <w:rsid w:val="00D61331"/>
    <w:rsid w:val="00D87EC4"/>
    <w:rsid w:val="00DD52A8"/>
    <w:rsid w:val="00E930B5"/>
    <w:rsid w:val="00F72751"/>
    <w:rsid w:val="0B993CFF"/>
    <w:rsid w:val="0C9B488E"/>
    <w:rsid w:val="0CC048FF"/>
    <w:rsid w:val="13956918"/>
    <w:rsid w:val="25E77091"/>
    <w:rsid w:val="2A7D03BB"/>
    <w:rsid w:val="35C8330A"/>
    <w:rsid w:val="399B6736"/>
    <w:rsid w:val="42026CF3"/>
    <w:rsid w:val="47CC6B6E"/>
    <w:rsid w:val="4BA7332C"/>
    <w:rsid w:val="4C387075"/>
    <w:rsid w:val="4C615E22"/>
    <w:rsid w:val="57F10A2D"/>
    <w:rsid w:val="5B531177"/>
    <w:rsid w:val="5EFAC5EC"/>
    <w:rsid w:val="624C1D1D"/>
    <w:rsid w:val="6922313D"/>
    <w:rsid w:val="6A045F27"/>
    <w:rsid w:val="72FFE72D"/>
    <w:rsid w:val="7B191504"/>
    <w:rsid w:val="7BF6836A"/>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pPr>
    <w:rPr>
      <w:sz w:val="18"/>
      <w:szCs w:val="18"/>
    </w:rPr>
  </w:style>
  <w:style w:type="paragraph" w:styleId="3">
    <w:name w:val="header"/>
    <w:basedOn w:val="1"/>
    <w:link w:val="6"/>
    <w:qFormat/>
    <w:uiPriority w:val="0"/>
    <w:pPr>
      <w:tabs>
        <w:tab w:val="center" w:pos="4153"/>
        <w:tab w:val="right" w:pos="8306"/>
      </w:tabs>
      <w:jc w:val="center"/>
    </w:pPr>
    <w:rPr>
      <w:sz w:val="18"/>
      <w:szCs w:val="18"/>
    </w:rPr>
  </w:style>
  <w:style w:type="character" w:customStyle="1" w:styleId="6">
    <w:name w:val="页眉 字符"/>
    <w:basedOn w:val="5"/>
    <w:link w:val="3"/>
    <w:qFormat/>
    <w:uiPriority w:val="0"/>
    <w:rPr>
      <w:rFonts w:ascii="Tahoma" w:hAnsi="Tahoma" w:eastAsia="微软雅黑"/>
      <w:sz w:val="18"/>
      <w:szCs w:val="18"/>
    </w:rPr>
  </w:style>
  <w:style w:type="character" w:customStyle="1" w:styleId="7">
    <w:name w:val="页脚 字符"/>
    <w:basedOn w:val="5"/>
    <w:link w:val="2"/>
    <w:qFormat/>
    <w:uiPriority w:val="0"/>
    <w:rPr>
      <w:rFonts w:ascii="Tahoma" w:hAnsi="Tahoma" w:eastAsia="微软雅黑"/>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1067</Words>
  <Characters>1134</Characters>
  <Lines>8</Lines>
  <Paragraphs>2</Paragraphs>
  <TotalTime>3</TotalTime>
  <ScaleCrop>false</ScaleCrop>
  <LinksUpToDate>false</LinksUpToDate>
  <CharactersWithSpaces>1146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愛殇璃</cp:lastModifiedBy>
  <cp:lastPrinted>2024-12-17T08:22:00Z</cp:lastPrinted>
  <dcterms:modified xsi:type="dcterms:W3CDTF">2025-01-20T02:53:06Z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B093BEF068AA423BA09A2204EA2B3F8D_13</vt:lpwstr>
  </property>
</Properties>
</file>