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spacing w:line="6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周至县202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批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省级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农业专项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中药材产业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项目申报表</w:t>
      </w:r>
    </w:p>
    <w:bookmarkEnd w:id="0"/>
    <w:p>
      <w:pPr>
        <w:spacing w:line="68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tbl>
      <w:tblPr>
        <w:tblStyle w:val="3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74"/>
        <w:gridCol w:w="1668"/>
        <w:gridCol w:w="1420"/>
        <w:gridCol w:w="927"/>
        <w:gridCol w:w="3026"/>
        <w:gridCol w:w="1174"/>
        <w:gridCol w:w="1335"/>
        <w:gridCol w:w="114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项目建设单位及负责人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建设地点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性质</w:t>
            </w:r>
          </w:p>
        </w:tc>
        <w:tc>
          <w:tcPr>
            <w:tcW w:w="30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建设规模及主要内容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财政支持环节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投资总额（万元）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  <w:lang w:val="en-US" w:eastAsia="zh-CN"/>
              </w:rPr>
              <w:t>自筹资金（万元）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  <w:lang w:val="en-US" w:eastAsia="zh-CN"/>
              </w:rPr>
              <w:t>申请财政补助资金（万元）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4762B"/>
    <w:rsid w:val="3FFF314A"/>
    <w:rsid w:val="9BB4762B"/>
    <w:rsid w:val="FCF8C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guest</dc:creator>
  <cp:lastModifiedBy>guest</cp:lastModifiedBy>
  <dcterms:modified xsi:type="dcterms:W3CDTF">2024-08-02T09:22:33Z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