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4-3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根据《中华人民共和国土地管理法》相关规定，结合本次被征收土地的现状调查以及社会稳定风险评估结果，现将征地补偿安置有关事宜公告如下：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周至县尚村镇圪塔头村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拟征收土地面积6.6174公顷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尚村镇圪塔头村</w:t>
            </w: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6.6174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6.6174</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为工业</w:t>
      </w:r>
      <w:r>
        <w:rPr>
          <w:rFonts w:hint="eastAsia" w:ascii="仿宋_GB2312" w:eastAsia="仿宋_GB2312"/>
          <w:sz w:val="32"/>
          <w:szCs w:val="32"/>
        </w:rPr>
        <w:t>用地</w:t>
      </w:r>
      <w:r>
        <w:rPr>
          <w:rFonts w:hint="eastAsia" w:ascii="仿宋_GB2312" w:eastAsia="仿宋_GB2312"/>
          <w:sz w:val="32"/>
          <w:szCs w:val="32"/>
          <w:lang w:eastAsia="zh-CN"/>
        </w:rPr>
        <w:t>、</w:t>
      </w:r>
      <w:r>
        <w:rPr>
          <w:rFonts w:hint="eastAsia" w:ascii="仿宋_GB2312" w:eastAsia="仿宋_GB2312"/>
          <w:sz w:val="32"/>
          <w:szCs w:val="32"/>
          <w:lang w:val="en-US" w:eastAsia="zh-CN"/>
        </w:rPr>
        <w:t>交通运输用地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发〔2020〕12号）和</w:t>
      </w:r>
      <w:r>
        <w:rPr>
          <w:rFonts w:hint="eastAsia" w:ascii="仿宋_GB2312" w:hAnsi="仿宋_GB2312" w:eastAsia="仿宋_GB2312" w:cs="仿宋_GB2312"/>
          <w:sz w:val="32"/>
          <w:szCs w:val="32"/>
        </w:rPr>
        <w:t>周至县人民政府《关于公布全县征收农用地区片综合地价的通告》（周政告字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2021</w:t>
      </w:r>
      <w:r>
        <w:rPr>
          <w:rFonts w:hint="eastAsia" w:ascii="仿宋_GB2312" w:eastAsia="仿宋_GB2312"/>
          <w:sz w:val="32"/>
          <w:szCs w:val="32"/>
        </w:rPr>
        <w:t>〕</w:t>
      </w:r>
      <w:r>
        <w:rPr>
          <w:rFonts w:hint="eastAsia" w:ascii="仿宋_GB2312" w:hAnsi="仿宋_GB2312" w:eastAsia="仿宋_GB2312" w:cs="仿宋_GB2312"/>
          <w:sz w:val="32"/>
          <w:szCs w:val="32"/>
        </w:rPr>
        <w:t xml:space="preserve"> 2号）文件规定，该项目拟征收集体土地</w:t>
      </w:r>
      <w:r>
        <w:rPr>
          <w:rFonts w:hint="eastAsia" w:ascii="仿宋_GB2312" w:hAnsi="仿宋_GB2312" w:eastAsia="仿宋_GB2312" w:cs="仿宋_GB2312"/>
          <w:sz w:val="32"/>
          <w:szCs w:val="32"/>
          <w:lang w:val="en-US" w:eastAsia="zh-CN"/>
        </w:rPr>
        <w:t>6.6174</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至2023年5月24日间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pPr>
        <w:spacing w:line="480" w:lineRule="exact"/>
        <w:ind w:firstLine="640" w:firstLineChars="200"/>
        <w:rPr>
          <w:rFonts w:ascii="仿宋_GB2312" w:hAnsi="仿宋" w:eastAsia="仿宋_GB2312"/>
          <w:sz w:val="32"/>
          <w:szCs w:val="32"/>
        </w:rPr>
      </w:pPr>
    </w:p>
    <w:p>
      <w:pPr>
        <w:spacing w:line="480" w:lineRule="exact"/>
        <w:ind w:firstLine="640" w:firstLineChars="200"/>
        <w:rPr>
          <w:rFonts w:ascii="仿宋_GB2312" w:hAnsi="仿宋" w:eastAsia="仿宋_GB2312"/>
          <w:sz w:val="32"/>
          <w:szCs w:val="32"/>
        </w:rPr>
      </w:pPr>
    </w:p>
    <w:p>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bookmarkStart w:id="1" w:name="_GoBack"/>
      <w:bookmarkEnd w:id="1"/>
      <w:r>
        <w:rPr>
          <w:rFonts w:hint="eastAsia" w:ascii="仿宋_GB2312" w:hAnsi="仿宋" w:eastAsia="仿宋_GB2312"/>
          <w:sz w:val="32"/>
          <w:szCs w:val="32"/>
        </w:rPr>
        <w:t>日</w:t>
      </w:r>
    </w:p>
    <w:p>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600AA-83A0-4CD7-A835-7364451339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960EB33-24F9-4305-9D69-5A0AE3B20168}"/>
  </w:font>
  <w:font w:name="仿宋">
    <w:panose1 w:val="02010609060101010101"/>
    <w:charset w:val="86"/>
    <w:family w:val="modern"/>
    <w:pitch w:val="default"/>
    <w:sig w:usb0="800002BF" w:usb1="38CF7CFA" w:usb2="00000016" w:usb3="00000000" w:csb0="00040001" w:csb1="00000000"/>
    <w:embedRegular r:id="rId3" w:fontKey="{EEC22836-D4B3-43B3-97BA-C9C19CD4F34A}"/>
  </w:font>
  <w:font w:name="仿宋_GB2312">
    <w:panose1 w:val="02010609030101010101"/>
    <w:charset w:val="86"/>
    <w:family w:val="modern"/>
    <w:pitch w:val="default"/>
    <w:sig w:usb0="00000001" w:usb1="080E0000" w:usb2="00000000" w:usb3="00000000" w:csb0="00040000" w:csb1="00000000"/>
    <w:embedRegular r:id="rId4" w:fontKey="{C35D3C2D-3C5C-46D1-98B5-C7EE0C95EF3E}"/>
  </w:font>
  <w:font w:name="楷体">
    <w:panose1 w:val="02010609060101010101"/>
    <w:charset w:val="86"/>
    <w:family w:val="modern"/>
    <w:pitch w:val="default"/>
    <w:sig w:usb0="800002BF" w:usb1="38CF7CFA" w:usb2="00000016" w:usb3="00000000" w:csb0="00040001" w:csb1="00000000"/>
    <w:embedRegular r:id="rId5" w:fontKey="{D61424C4-1FF6-4059-9AFD-76AE54CD849F}"/>
  </w:font>
  <w:font w:name="楷体_GB2312">
    <w:altName w:val="楷体"/>
    <w:panose1 w:val="02010609030101010101"/>
    <w:charset w:val="86"/>
    <w:family w:val="modern"/>
    <w:pitch w:val="default"/>
    <w:sig w:usb0="00000000" w:usb1="00000000" w:usb2="00000010" w:usb3="00000000" w:csb0="00040000" w:csb1="00000000"/>
    <w:embedRegular r:id="rId6" w:fontKey="{523BC83E-ACC8-4F70-BB98-EBD62ABE9F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pPr>
                  <w:rPr>
                    <w:rFonts w:ascii="Times New Roman" w:hAnsi="Times New Roman" w:cs="Times New Roman"/>
                    <w:sz w:val="28"/>
                    <w:szCs w:val="28"/>
                  </w:rPr>
                </w:pPr>
              </w:p>
            </w:txbxContent>
          </v:textbox>
        </v:shape>
      </w:pict>
    </w:r>
  </w:p>
  <w:p>
    <w:pPr>
      <w:pStyle w:val="4"/>
      <w:jc w:val="center"/>
      <w:rPr>
        <w:rFonts w:ascii="Times New Roman" w:hAnsi="Times New Roman" w:cs="Times New Roman"/>
        <w:sz w:val="28"/>
        <w:szCs w:val="28"/>
      </w:rPr>
    </w:pPr>
    <w:r>
      <w:rPr>
        <w:sz w:val="28"/>
      </w:rPr>
      <w:pict>
        <v:shape id="_x0000_s4098" o:spid="_x0000_s4098" o:spt="202" type="#_x0000_t202" style="position:absolute;left:0pt;margin-left:412.3pt;margin-top:-6.6pt;height:38.8pt;width:29.9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jc w:val="center"/>
                  <w:rPr>
                    <w:rFonts w:ascii="Times New Roman" w:hAnsi="Times New Roman" w:cs="Times New Roman"/>
                    <w:sz w:val="28"/>
                    <w:szCs w:val="28"/>
                  </w:rPr>
                </w:pPr>
              </w:p>
              <w:p>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522E35"/>
    <w:rsid w:val="14E95918"/>
    <w:rsid w:val="159272EB"/>
    <w:rsid w:val="17101620"/>
    <w:rsid w:val="175E3498"/>
    <w:rsid w:val="183735A3"/>
    <w:rsid w:val="18515299"/>
    <w:rsid w:val="18F63CC1"/>
    <w:rsid w:val="1AFA4ED6"/>
    <w:rsid w:val="282402D9"/>
    <w:rsid w:val="28E40532"/>
    <w:rsid w:val="30A52729"/>
    <w:rsid w:val="343F112B"/>
    <w:rsid w:val="3577042C"/>
    <w:rsid w:val="39370B4E"/>
    <w:rsid w:val="3E090EF4"/>
    <w:rsid w:val="42D2661E"/>
    <w:rsid w:val="437D295A"/>
    <w:rsid w:val="44D72D20"/>
    <w:rsid w:val="44F43C03"/>
    <w:rsid w:val="4C366D1A"/>
    <w:rsid w:val="4D48652A"/>
    <w:rsid w:val="4F9D2355"/>
    <w:rsid w:val="4FCE2CF5"/>
    <w:rsid w:val="506C1FA7"/>
    <w:rsid w:val="56A532FF"/>
    <w:rsid w:val="5C535567"/>
    <w:rsid w:val="5EFC0414"/>
    <w:rsid w:val="613B4ADC"/>
    <w:rsid w:val="61D62CA2"/>
    <w:rsid w:val="64DB5401"/>
    <w:rsid w:val="6CCB2B49"/>
    <w:rsid w:val="6F8D5D67"/>
    <w:rsid w:val="7A427982"/>
    <w:rsid w:val="7C2C39C4"/>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1059</Words>
  <Characters>1116</Characters>
  <Lines>7</Lines>
  <Paragraphs>2</Paragraphs>
  <TotalTime>4</TotalTime>
  <ScaleCrop>false</ScaleCrop>
  <LinksUpToDate>false</LinksUpToDate>
  <CharactersWithSpaces>1124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焦子</cp:lastModifiedBy>
  <cp:lastPrinted>2023-04-26T00:26:00Z</cp:lastPrinted>
  <dcterms:modified xsi:type="dcterms:W3CDTF">2023-04-26T00:26:22Z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C0F85609B6714145B86DD453630E0EDA</vt:lpwstr>
  </property>
</Properties>
</file>